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686C2" w14:textId="77777777" w:rsidR="005D07A6" w:rsidRDefault="00F42774">
      <w:pPr>
        <w:pStyle w:val="UE-Intitule"/>
      </w:pPr>
      <w:r>
        <w:t>Contrôle de gestion</w:t>
      </w:r>
    </w:p>
    <w:p w14:paraId="20CC8F61" w14:textId="77777777" w:rsidR="005D07A6" w:rsidRDefault="00F42774">
      <w:pPr>
        <w:pStyle w:val="UE-Code"/>
      </w:pPr>
      <w:r>
        <w:t>433</w:t>
      </w:r>
    </w:p>
    <w:p w14:paraId="62A539FA" w14:textId="77777777" w:rsidR="005D07A6" w:rsidRDefault="00F42774">
      <w:pPr>
        <w:pStyle w:val="UE-Annee"/>
      </w:pPr>
      <w:r>
        <w:t>2025-2026</w:t>
      </w:r>
    </w:p>
    <w:p w14:paraId="77AE1F6E" w14:textId="77777777" w:rsidR="005D07A6" w:rsidRDefault="00F42774">
      <w:pPr>
        <w:pStyle w:val="UE-Type"/>
      </w:pPr>
      <w:r>
        <w:t>Licence CCA</w:t>
      </w:r>
    </w:p>
    <w:p w14:paraId="6DF8C993" w14:textId="77777777" w:rsidR="005D07A6" w:rsidRDefault="00F42774">
      <w:pPr>
        <w:pStyle w:val="TSnum"/>
      </w:pPr>
      <w:r>
        <w:t>1</w:t>
      </w:r>
    </w:p>
    <w:p w14:paraId="7C5A0E1A" w14:textId="77777777" w:rsidR="005D07A6" w:rsidRDefault="00F42774">
      <w:pPr>
        <w:pStyle w:val="SerieTitre"/>
      </w:pPr>
      <w:r>
        <w:t xml:space="preserve">Le contrôle de gestion, </w:t>
      </w:r>
      <w:r>
        <w:br/>
        <w:t>outil de décision</w:t>
      </w:r>
    </w:p>
    <w:p w14:paraId="25DBE579" w14:textId="77777777" w:rsidR="005D07A6" w:rsidRDefault="00F42774">
      <w:pPr>
        <w:pStyle w:val="debutfilet"/>
      </w:pPr>
      <w:r>
        <w:t>Nom_Auteurs</w:t>
      </w:r>
    </w:p>
    <w:p w14:paraId="7FFF0754" w14:textId="77777777" w:rsidR="005D07A6" w:rsidRDefault="00F42774">
      <w:pPr>
        <w:pStyle w:val="CT"/>
      </w:pPr>
      <w:r>
        <w:t>Didier Leclère</w:t>
      </w:r>
    </w:p>
    <w:p w14:paraId="75C92071" w14:textId="77777777" w:rsidR="005D07A6" w:rsidRDefault="00F42774">
      <w:pPr>
        <w:pStyle w:val="CT"/>
      </w:pPr>
      <w:r>
        <w:t>Olivier Vidal</w:t>
      </w:r>
    </w:p>
    <w:p w14:paraId="3FEE83DD" w14:textId="77777777" w:rsidR="005D07A6" w:rsidRDefault="00F42774">
      <w:pPr>
        <w:pStyle w:val="finfilet"/>
      </w:pPr>
      <w:r>
        <w:t>Fin Nom_Auteurs</w:t>
      </w:r>
    </w:p>
    <w:p w14:paraId="3C459605" w14:textId="77777777" w:rsidR="005D07A6" w:rsidRDefault="00F42774">
      <w:pPr>
        <w:pStyle w:val="debutfilet"/>
      </w:pPr>
      <w:r>
        <w:t>Auteurs_Cursus</w:t>
      </w:r>
    </w:p>
    <w:p w14:paraId="54990466" w14:textId="77777777" w:rsidR="005D07A6" w:rsidRDefault="00F42774">
      <w:pPr>
        <w:pStyle w:val="TitreRubrique"/>
      </w:pPr>
      <w:r>
        <w:t>Les auteurs :</w:t>
      </w:r>
    </w:p>
    <w:p w14:paraId="0D4A9AF1" w14:textId="77777777" w:rsidR="005D07A6" w:rsidRDefault="00F42774">
      <w:pPr>
        <w:pStyle w:val="CT"/>
      </w:pPr>
      <w:r>
        <w:t>Didier Leclère : professeur des universités, diplômé d’expertise comptable.</w:t>
      </w:r>
    </w:p>
    <w:p w14:paraId="0226D9E2" w14:textId="77777777" w:rsidR="005D07A6" w:rsidRDefault="00F42774">
      <w:pPr>
        <w:pStyle w:val="CT"/>
      </w:pPr>
      <w:r>
        <w:t>Olivier Vidal : maître de conférences en sciences de gestion.</w:t>
      </w:r>
    </w:p>
    <w:p w14:paraId="27816DC6" w14:textId="77777777" w:rsidR="005D07A6" w:rsidRDefault="00F42774">
      <w:pPr>
        <w:pStyle w:val="finfilet"/>
      </w:pPr>
      <w:r>
        <w:t>Fin Auteurs_Cursus</w:t>
      </w:r>
    </w:p>
    <w:p w14:paraId="2B5D0107" w14:textId="77777777" w:rsidR="005D07A6" w:rsidRDefault="00F42774">
      <w:pPr>
        <w:pStyle w:val="debutfilet"/>
      </w:pPr>
      <w:r>
        <w:t>Mentions_Legales</w:t>
      </w:r>
    </w:p>
    <w:p w14:paraId="29FD2796" w14:textId="77777777" w:rsidR="005D07A6" w:rsidRDefault="00F42774">
      <w:pPr>
        <w:pStyle w:val="CT"/>
      </w:pPr>
      <w:r>
        <w:t>L’ensemble des contenus (textes, images, données, dessins, graphiques, etc.) de ce fascicule est la propriété exclusive du Cnam-Intec.</w:t>
      </w:r>
    </w:p>
    <w:p w14:paraId="6FE46840" w14:textId="77777777" w:rsidR="005D07A6" w:rsidRDefault="00F42774">
      <w:pPr>
        <w:pStyle w:val="CT"/>
      </w:pPr>
      <w:r>
        <w:t>En vertu de l’art. L. 122-4 du Code de la propriété intellectuelle, la reproduction ou représentation intégrale ou partielle de ces contenus, sans autorisation expresse et préalable du Cnam-Intec, est illicite. Le Code de la propriété intellectuelle n’autorise que « les copies ou reproductions strictement réservées à l’usage privé du copiste et non destinées à une utilisation collective » (art. L. 122-5).</w:t>
      </w:r>
      <w:r>
        <w:br/>
        <w:t>Directrice de la publication : Bénédicte Fauvarque-Cosson, administratrice générale du Cnam.</w:t>
      </w:r>
    </w:p>
    <w:p w14:paraId="59452C39" w14:textId="77777777" w:rsidR="005D07A6" w:rsidRDefault="00F42774">
      <w:pPr>
        <w:pStyle w:val="finfilet"/>
      </w:pPr>
      <w:r>
        <w:t>Fin Mentions_Legales</w:t>
      </w:r>
    </w:p>
    <w:p w14:paraId="4DBE63EB" w14:textId="77777777" w:rsidR="005D07A6" w:rsidRDefault="00F42774">
      <w:pPr>
        <w:pStyle w:val="debutfilet"/>
      </w:pPr>
      <w:r>
        <w:t>Presentation_UE</w:t>
      </w:r>
    </w:p>
    <w:p w14:paraId="1C0C151A" w14:textId="77777777" w:rsidR="005D07A6" w:rsidRDefault="00F42774">
      <w:pPr>
        <w:pStyle w:val="TitrePresentation"/>
      </w:pPr>
      <w:r>
        <w:t>Présentation du cours</w:t>
      </w:r>
    </w:p>
    <w:p w14:paraId="16923B0C" w14:textId="77777777" w:rsidR="005D07A6" w:rsidRDefault="00F42774">
      <w:pPr>
        <w:pStyle w:val="CT"/>
      </w:pPr>
      <w:r>
        <w:t>Bienvenue dans le cours de Contrôle de gestion de l’Intec !</w:t>
      </w:r>
    </w:p>
    <w:p w14:paraId="02F00278" w14:textId="77777777" w:rsidR="005D07A6" w:rsidRDefault="00F42774">
      <w:pPr>
        <w:pStyle w:val="T4"/>
      </w:pPr>
      <w:r>
        <w:t>I.</w:t>
      </w:r>
      <w:r>
        <w:tab/>
        <w:t>L’organisation du cours</w:t>
      </w:r>
    </w:p>
    <w:p w14:paraId="4C9B7788" w14:textId="77777777" w:rsidR="005D07A6" w:rsidRDefault="00F42774">
      <w:pPr>
        <w:pStyle w:val="CTEspDessous"/>
      </w:pPr>
      <w:r>
        <w:t xml:space="preserve">Le cours de l’Intec est composé de quatre supports de cours numérotés de 1 à 4, qui suivent la progression pédagogique des enseignements dispensés. Les </w:t>
      </w:r>
      <w:r>
        <w:rPr>
          <w:b/>
          <w:bCs/>
        </w:rPr>
        <w:t>supports de cours imprimés sont envoyés</w:t>
      </w:r>
      <w:r>
        <w:t xml:space="preserve"> aux élèves selon un calendrier diffusé sur la plateforme Moodle (</w:t>
      </w:r>
      <w:hyperlink r:id="rId7" w:history="1">
        <w:r>
          <w:rPr>
            <w:rStyle w:val="Lienhypertexte"/>
          </w:rPr>
          <w:t>https://lecnam.net</w:t>
        </w:r>
      </w:hyperlink>
      <w:r>
        <w:t xml:space="preserve">). Ils </w:t>
      </w:r>
      <w:r>
        <w:rPr>
          <w:b/>
          <w:bCs/>
        </w:rPr>
        <w:t>sont également mis en ligne aux mêmes dates</w:t>
      </w:r>
      <w:r>
        <w:t xml:space="preserve"> et téléchargeables aux formats PDF et ePub.</w:t>
      </w:r>
    </w:p>
    <w:p w14:paraId="03457042" w14:textId="77777777" w:rsidR="005D07A6" w:rsidRDefault="00F42774">
      <w:pPr>
        <w:pStyle w:val="CTEspDessous"/>
      </w:pPr>
      <w:r>
        <w:t>Chacun des supports de cours comporte également un devoir maison obligatoire.</w:t>
      </w:r>
    </w:p>
    <w:p w14:paraId="19F041E9" w14:textId="77777777" w:rsidR="005D07A6" w:rsidRDefault="00F42774">
      <w:pPr>
        <w:pStyle w:val="CTEspDessous"/>
      </w:pPr>
      <w:r>
        <w:t>Une bonne préparation aux examens passe par une lecture attentive des supports de cours et une progression dans le travail.</w:t>
      </w:r>
    </w:p>
    <w:p w14:paraId="311D4863" w14:textId="77777777" w:rsidR="005D07A6" w:rsidRDefault="00F42774">
      <w:pPr>
        <w:pStyle w:val="CTEspDessous"/>
      </w:pPr>
      <w:r>
        <w:rPr>
          <w:b/>
          <w:bCs/>
        </w:rPr>
        <w:t>Le cours de l’Intec est autosuffisant.</w:t>
      </w:r>
    </w:p>
    <w:p w14:paraId="4B6EC60C" w14:textId="77777777" w:rsidR="005D07A6" w:rsidRDefault="00F42774">
      <w:pPr>
        <w:pStyle w:val="CT"/>
      </w:pPr>
      <w:r>
        <w:t>De plus, des outils pédagogiques par unité d’enseignement sont accessibles par tous depuis l’ENF du Cnam (</w:t>
      </w:r>
      <w:hyperlink r:id="rId8" w:history="1">
        <w:r>
          <w:rPr>
            <w:rStyle w:val="Lienhypertexte"/>
          </w:rPr>
          <w:t>https://lecnam.net</w:t>
        </w:r>
      </w:hyperlink>
      <w:r>
        <w:t>) :</w:t>
      </w:r>
    </w:p>
    <w:p w14:paraId="73B08A28" w14:textId="77777777" w:rsidR="005D07A6" w:rsidRDefault="00F42774">
      <w:pPr>
        <w:pStyle w:val="ET"/>
      </w:pPr>
      <w:r>
        <w:lastRenderedPageBreak/>
        <w:t xml:space="preserve">des </w:t>
      </w:r>
      <w:r>
        <w:rPr>
          <w:b/>
          <w:bCs/>
        </w:rPr>
        <w:t>ressources pédagogiques complémentaires</w:t>
      </w:r>
      <w:r>
        <w:t xml:space="preserve"> classées par cours (applications, cas pratiques et exercices interactifs, bibliographie, fiches de méthodologie, annales, etc.) ;</w:t>
      </w:r>
    </w:p>
    <w:p w14:paraId="56B10B87" w14:textId="77777777" w:rsidR="005D07A6" w:rsidRDefault="00F42774">
      <w:pPr>
        <w:pStyle w:val="ET"/>
      </w:pPr>
      <w:r>
        <w:t xml:space="preserve">un </w:t>
      </w:r>
      <w:r>
        <w:rPr>
          <w:b/>
          <w:bCs/>
        </w:rPr>
        <w:t>accompagnement pédagogique sur le forum de discussion</w:t>
      </w:r>
      <w:r>
        <w:t xml:space="preserve"> : les élèves peuvent communiquer entre eux et poser des questions à l’enseignant animateur du forum.</w:t>
      </w:r>
    </w:p>
    <w:p w14:paraId="61142291" w14:textId="77777777" w:rsidR="005D07A6" w:rsidRDefault="00F42774">
      <w:pPr>
        <w:pStyle w:val="T4"/>
      </w:pPr>
      <w:r>
        <w:t>II.</w:t>
      </w:r>
      <w:r>
        <w:tab/>
        <w:t>Les devoirs</w:t>
      </w:r>
    </w:p>
    <w:p w14:paraId="5C7EFD6D" w14:textId="77777777" w:rsidR="005D07A6" w:rsidRDefault="00F42774">
      <w:pPr>
        <w:pStyle w:val="CTEspDessous"/>
      </w:pPr>
      <w:r>
        <w:t xml:space="preserve">Dans le cadre du contrôle continu, les élèves doivent soumettre à la correction le devoir se trouvant à la fin de chacun des quatre supports de cours. Ces devoirs, numérotés de 1 à 4, sont à déposer sur l’application </w:t>
      </w:r>
      <w:r>
        <w:rPr>
          <w:b/>
          <w:bCs/>
        </w:rPr>
        <w:t>Devoirs en ligne de l’Intec (Deli)</w:t>
      </w:r>
      <w:r>
        <w:t xml:space="preserve"> à l’adresse suivante : </w:t>
      </w:r>
      <w:hyperlink r:id="rId9" w:history="1">
        <w:r>
          <w:rPr>
            <w:rStyle w:val="Lienhypertexte"/>
            <w:b/>
            <w:bCs/>
          </w:rPr>
          <w:t>deli.cnam.fr</w:t>
        </w:r>
      </w:hyperlink>
    </w:p>
    <w:p w14:paraId="0ECD15E4" w14:textId="77777777" w:rsidR="005D07A6" w:rsidRDefault="00F42774">
      <w:pPr>
        <w:pStyle w:val="CTEspDessous"/>
      </w:pPr>
      <w:r>
        <w:t>Les devoirs sont corrigés par des enseignants de l’Intec permettant aux élèves d’obtenir un retour personnalisé sur leur travail.</w:t>
      </w:r>
    </w:p>
    <w:p w14:paraId="6CCD96C1" w14:textId="77777777" w:rsidR="005D07A6" w:rsidRDefault="00F42774">
      <w:pPr>
        <w:pStyle w:val="CTEspDessous"/>
      </w:pPr>
      <w:r>
        <w:t>Le calendrier des dates limites de dépôt des devoirs à soumettre à la correction est à votre disposition, dès votre inscription, depuis l’ENF du Cnam (</w:t>
      </w:r>
      <w:hyperlink r:id="rId10" w:history="1">
        <w:r>
          <w:rPr>
            <w:rStyle w:val="Lienhypertexte"/>
          </w:rPr>
          <w:t>https://lecnam.net</w:t>
        </w:r>
      </w:hyperlink>
      <w:r>
        <w:t>) dans votre espace</w:t>
      </w:r>
      <w:r>
        <w:rPr>
          <w:b/>
          <w:bCs/>
        </w:rPr>
        <w:t xml:space="preserve"> TEC400 : Licence CCA</w:t>
      </w:r>
      <w:r>
        <w:t>.</w:t>
      </w:r>
    </w:p>
    <w:p w14:paraId="261D5C88" w14:textId="77777777" w:rsidR="005D07A6" w:rsidRDefault="00F42774">
      <w:pPr>
        <w:pStyle w:val="CTEspDessous"/>
      </w:pPr>
      <w:r>
        <w:rPr>
          <w:b/>
          <w:bCs/>
        </w:rPr>
        <w:t xml:space="preserve">Les devoirs déposés hors délai ne seront pas examinés. </w:t>
      </w:r>
      <w:r>
        <w:t>De même, tout document erroné ou incomplet ne pourra être remplacé une fois la date limite dépassée. L’évaluation relève de l’entière appréciation du correcteur et ne peut faire l’objet d’aucune réclamation.</w:t>
      </w:r>
    </w:p>
    <w:p w14:paraId="4F738EF8" w14:textId="77777777" w:rsidR="005D07A6" w:rsidRDefault="00F42774">
      <w:pPr>
        <w:pStyle w:val="debutfilet"/>
      </w:pPr>
      <w:r>
        <w:t>Attention</w:t>
      </w:r>
    </w:p>
    <w:p w14:paraId="1F409776" w14:textId="77777777" w:rsidR="005D07A6" w:rsidRDefault="00F42774">
      <w:pPr>
        <w:pStyle w:val="LibelleRubrique"/>
      </w:pPr>
      <w:r>
        <w:t>Attention</w:t>
      </w:r>
    </w:p>
    <w:p w14:paraId="0BFF5BC4" w14:textId="77777777" w:rsidR="005D07A6" w:rsidRDefault="00F42774">
      <w:pPr>
        <w:pStyle w:val="TNiv1"/>
      </w:pPr>
      <w:r>
        <w:t>Le recours au plagiat est un acte de fraude</w:t>
      </w:r>
    </w:p>
    <w:p w14:paraId="5E703622" w14:textId="77777777" w:rsidR="005D07A6" w:rsidRDefault="00F42774">
      <w:pPr>
        <w:pStyle w:val="CT"/>
      </w:pPr>
      <w:r>
        <w:t>Les devoirs doivent être le fruit d’un travail personnel. Dans ce cadre, la copie ou l’usage abusif de textes rédigés par autrui et/ou par des IA génératives est passible de sanctions.</w:t>
      </w:r>
    </w:p>
    <w:p w14:paraId="11D99E94" w14:textId="77777777" w:rsidR="005D07A6" w:rsidRDefault="00F42774">
      <w:pPr>
        <w:pStyle w:val="CT"/>
      </w:pPr>
      <w:r>
        <w:t>Avant tout dépôt de devoir sur Deli, vous devrez obligatoirement déclarer le degré d’usage de l’IA en remplissant le formulaire dédié. Il permet aux correcteurs d’évaluer les travaux des élèves plus justement, ainsi qu’à l’établissement d’utiliser les moyens appropriés pour détecter le plagiat.</w:t>
      </w:r>
    </w:p>
    <w:p w14:paraId="64A560A4" w14:textId="77777777" w:rsidR="005D07A6" w:rsidRDefault="00F42774">
      <w:pPr>
        <w:pStyle w:val="finfilet"/>
      </w:pPr>
      <w:r>
        <w:t>Fin Attention</w:t>
      </w:r>
    </w:p>
    <w:p w14:paraId="37795B5B" w14:textId="77777777" w:rsidR="005D07A6" w:rsidRDefault="00F42774">
      <w:pPr>
        <w:pStyle w:val="T4"/>
      </w:pPr>
      <w:r>
        <w:t>III.</w:t>
      </w:r>
      <w:r>
        <w:tab/>
        <w:t>Les modalités d’évaluation de l’UE</w:t>
      </w:r>
    </w:p>
    <w:p w14:paraId="45B27B7D" w14:textId="77777777" w:rsidR="005D07A6" w:rsidRDefault="00F42774">
      <w:pPr>
        <w:pStyle w:val="CTEspDessous"/>
      </w:pPr>
      <w:r>
        <w:t>Chaque unité d’enseignement (UE) fait l’objet d’un contrôle continu et d’un examen écrit semestriel ou d’une soutenance orale.</w:t>
      </w:r>
    </w:p>
    <w:p w14:paraId="6B38448C" w14:textId="77777777" w:rsidR="005D07A6" w:rsidRDefault="00F42774">
      <w:pPr>
        <w:pStyle w:val="CT"/>
      </w:pPr>
      <w:r>
        <w:t>La note finale de l’UE par semestre est composée :</w:t>
      </w:r>
    </w:p>
    <w:p w14:paraId="68AA9C67" w14:textId="77777777" w:rsidR="005D07A6" w:rsidRDefault="00F42774">
      <w:pPr>
        <w:pStyle w:val="ET"/>
      </w:pPr>
      <w:r>
        <w:t>de la note obtenue lors de l’examen semestriel sur table (présentiel) pour 70 % ;</w:t>
      </w:r>
    </w:p>
    <w:p w14:paraId="743F0AD5" w14:textId="77777777" w:rsidR="005D07A6" w:rsidRDefault="00F42774">
      <w:pPr>
        <w:pStyle w:val="ET"/>
      </w:pPr>
      <w:r>
        <w:t>de la moyenne des notes de contrôle continu pour 30 % composée :</w:t>
      </w:r>
    </w:p>
    <w:p w14:paraId="318F9167" w14:textId="77777777" w:rsidR="005D07A6" w:rsidRDefault="00F42774">
      <w:pPr>
        <w:pStyle w:val="SEP"/>
      </w:pPr>
      <w:r>
        <w:t>des deux devoirs à faire à la maison,</w:t>
      </w:r>
    </w:p>
    <w:p w14:paraId="6BC9F85A" w14:textId="77777777" w:rsidR="005D07A6" w:rsidRDefault="00F42774">
      <w:pPr>
        <w:pStyle w:val="SEP"/>
      </w:pPr>
      <w:r>
        <w:t>d’un questionnaire à choix unique en ligne à faire depuis la plateforme Moodle.</w:t>
      </w:r>
    </w:p>
    <w:p w14:paraId="3E499007" w14:textId="77777777" w:rsidR="005D07A6" w:rsidRDefault="00F42774">
      <w:pPr>
        <w:pStyle w:val="CTEspDessous"/>
      </w:pPr>
      <w:r>
        <w:t>Les épreuves de soutenance ne font pas l’objet d’un contrôle continu comptant dans l’évaluation terminale.</w:t>
      </w:r>
    </w:p>
    <w:p w14:paraId="272735C9" w14:textId="77777777" w:rsidR="005D07A6" w:rsidRDefault="00F42774">
      <w:pPr>
        <w:pStyle w:val="CTEspDessous"/>
      </w:pPr>
      <w:r>
        <w:t>Les semestres ne se compensent pas. Le semestre est validé si l’élève obtient une moyenne générale égale ou supérieure à 10/20, sans aucune note inférieure à 6/20.</w:t>
      </w:r>
    </w:p>
    <w:p w14:paraId="2647204F" w14:textId="77777777" w:rsidR="005D07A6" w:rsidRDefault="00F42774">
      <w:pPr>
        <w:pStyle w:val="T4"/>
      </w:pPr>
      <w:r>
        <w:t>III.</w:t>
      </w:r>
      <w:r>
        <w:tab/>
        <w:t>Les webconférences</w:t>
      </w:r>
    </w:p>
    <w:p w14:paraId="11AF4AB2" w14:textId="77777777" w:rsidR="005D07A6" w:rsidRDefault="00F42774">
      <w:pPr>
        <w:pStyle w:val="CTEspDessous"/>
      </w:pPr>
      <w:r>
        <w:t>Vous avez accès à des webconférences depuis l’ENF du Cnam.</w:t>
      </w:r>
    </w:p>
    <w:p w14:paraId="0CD159E5" w14:textId="77777777" w:rsidR="005D07A6" w:rsidRDefault="00F42774">
      <w:pPr>
        <w:pStyle w:val="CTEspDessous"/>
      </w:pPr>
      <w:r>
        <w:t>Les webconférences sont des séances de cours d’un format de 2 heures. Elles peuvent être visionnées autant de fois que vous le souhaitez.</w:t>
      </w:r>
    </w:p>
    <w:p w14:paraId="567267C1" w14:textId="77777777" w:rsidR="005D07A6" w:rsidRDefault="00F42774">
      <w:pPr>
        <w:pStyle w:val="CTEspDessous"/>
      </w:pPr>
      <w:r>
        <w:lastRenderedPageBreak/>
        <w:t>La progression suit celle des cours. Il s’agit de reprendre les notions fondamentales en les mettant en perspective et de vérifier par des exercices simples que les notions sont assimilées.</w:t>
      </w:r>
    </w:p>
    <w:p w14:paraId="7E032E7A" w14:textId="77777777" w:rsidR="005D07A6" w:rsidRDefault="00F42774">
      <w:pPr>
        <w:pStyle w:val="debutfilet"/>
      </w:pPr>
      <w:r>
        <w:t>Attention</w:t>
      </w:r>
    </w:p>
    <w:p w14:paraId="5B1AF694" w14:textId="77777777" w:rsidR="005D07A6" w:rsidRDefault="00F42774">
      <w:pPr>
        <w:pStyle w:val="LibelleRubrique"/>
      </w:pPr>
      <w:r>
        <w:t>Attention</w:t>
      </w:r>
    </w:p>
    <w:p w14:paraId="34727A23" w14:textId="77777777" w:rsidR="005D07A6" w:rsidRDefault="00F42774">
      <w:pPr>
        <w:pStyle w:val="CT"/>
      </w:pPr>
      <w:r>
        <w:t>Pour visionner les webconférences, il faut disposer d’une connexion Internet (la lecture s’effectuant en streaming).</w:t>
      </w:r>
    </w:p>
    <w:p w14:paraId="26C4598C" w14:textId="77777777" w:rsidR="005D07A6" w:rsidRDefault="00F42774">
      <w:pPr>
        <w:pStyle w:val="CT"/>
      </w:pPr>
      <w:r>
        <w:t>Les webconférences ne sont pas téléchargeables.</w:t>
      </w:r>
    </w:p>
    <w:p w14:paraId="55AC189D" w14:textId="77777777" w:rsidR="005D07A6" w:rsidRDefault="00F42774">
      <w:pPr>
        <w:pStyle w:val="finfilet"/>
      </w:pPr>
      <w:r>
        <w:t>Fin Attention</w:t>
      </w:r>
    </w:p>
    <w:p w14:paraId="4639272F" w14:textId="77777777" w:rsidR="005D07A6" w:rsidRDefault="00F42774">
      <w:pPr>
        <w:pStyle w:val="debutfiletr"/>
      </w:pPr>
      <w:r>
        <w:t>Focus</w:t>
      </w:r>
    </w:p>
    <w:p w14:paraId="19A12259" w14:textId="77777777" w:rsidR="005D07A6" w:rsidRDefault="00F42774">
      <w:pPr>
        <w:pStyle w:val="CT"/>
      </w:pPr>
      <w:r>
        <w:rPr>
          <w:color w:val="008000"/>
        </w:rPr>
        <w:t>Retrouvez toutes les informations dédiées à votre scolarité dans le</w:t>
      </w:r>
      <w:r>
        <w:t xml:space="preserve"> </w:t>
      </w:r>
      <w:r>
        <w:rPr>
          <w:b/>
          <w:bCs/>
        </w:rPr>
        <w:t>guide de l’élève</w:t>
      </w:r>
      <w:r>
        <w:t xml:space="preserve"> </w:t>
      </w:r>
      <w:r>
        <w:rPr>
          <w:color w:val="008000"/>
        </w:rPr>
        <w:t>sur la plateforme Moodle :</w:t>
      </w:r>
      <w:r>
        <w:t xml:space="preserve"> </w:t>
      </w:r>
      <w:hyperlink r:id="rId11" w:history="1">
        <w:r>
          <w:rPr>
            <w:rStyle w:val="Lienhypertexte"/>
          </w:rPr>
          <w:t>https://lecnam.net</w:t>
        </w:r>
      </w:hyperlink>
    </w:p>
    <w:p w14:paraId="55AF75DD" w14:textId="77777777" w:rsidR="005D07A6" w:rsidRDefault="00F42774">
      <w:pPr>
        <w:pStyle w:val="finfiletr"/>
      </w:pPr>
      <w:r>
        <w:t>Fin Focus</w:t>
      </w:r>
    </w:p>
    <w:p w14:paraId="47498EB4" w14:textId="77777777" w:rsidR="005D07A6" w:rsidRDefault="00F42774">
      <w:pPr>
        <w:pStyle w:val="finfilet"/>
      </w:pPr>
      <w:r>
        <w:t>Fin Presentation_UE</w:t>
      </w:r>
    </w:p>
    <w:p w14:paraId="6BF46D0C" w14:textId="77777777" w:rsidR="005D07A6" w:rsidRDefault="00F42774">
      <w:pPr>
        <w:pStyle w:val="debutfilet"/>
      </w:pPr>
      <w:r>
        <w:t>Plan_Annuel</w:t>
      </w:r>
    </w:p>
    <w:p w14:paraId="1B086783" w14:textId="77777777" w:rsidR="005D07A6" w:rsidRDefault="00F42774">
      <w:pPr>
        <w:pStyle w:val="TitreRubrique"/>
      </w:pPr>
      <w:r>
        <w:t>Plan annuel de l’UE 433/443</w:t>
      </w:r>
    </w:p>
    <w:p w14:paraId="2C77D3B3" w14:textId="77777777" w:rsidR="005D07A6" w:rsidRDefault="00F42774">
      <w:pPr>
        <w:pStyle w:val="TAnnuelSerie"/>
      </w:pPr>
      <w:r>
        <w:t>Cours 1</w:t>
      </w:r>
    </w:p>
    <w:p w14:paraId="0C013BF8" w14:textId="77777777" w:rsidR="005D07A6" w:rsidRDefault="00F42774">
      <w:pPr>
        <w:pStyle w:val="TNiv1"/>
      </w:pPr>
      <w:r>
        <w:t>Partie 1</w:t>
      </w:r>
      <w:r>
        <w:tab/>
        <w:t>La comptabilité de gestion et le contrôle de gestion</w:t>
      </w:r>
    </w:p>
    <w:p w14:paraId="26664694" w14:textId="77777777" w:rsidR="005D07A6" w:rsidRDefault="00F42774">
      <w:pPr>
        <w:pStyle w:val="TNiv2"/>
      </w:pPr>
      <w:r>
        <w:t>Chapitre 1.</w:t>
      </w:r>
      <w:r>
        <w:tab/>
        <w:t>La comptabilité de gestion</w:t>
      </w:r>
    </w:p>
    <w:p w14:paraId="3CAE590F" w14:textId="77777777" w:rsidR="005D07A6" w:rsidRDefault="00F42774">
      <w:pPr>
        <w:pStyle w:val="TNiv3"/>
      </w:pPr>
      <w:r>
        <w:t>Section 1.</w:t>
      </w:r>
      <w:r>
        <w:tab/>
        <w:t>La définition de la comptabilité de gestion</w:t>
      </w:r>
    </w:p>
    <w:p w14:paraId="079B5E42" w14:textId="77777777" w:rsidR="005D07A6" w:rsidRDefault="00F42774">
      <w:pPr>
        <w:pStyle w:val="TNiv3"/>
      </w:pPr>
      <w:r>
        <w:t>Section 2.</w:t>
      </w:r>
      <w:r>
        <w:tab/>
        <w:t>Les objectifs de la comptabilité de gestion</w:t>
      </w:r>
    </w:p>
    <w:p w14:paraId="6E7BBA3A" w14:textId="77777777" w:rsidR="005D07A6" w:rsidRDefault="00F42774">
      <w:pPr>
        <w:pStyle w:val="TNiv3"/>
      </w:pPr>
      <w:r>
        <w:t>Section 3.</w:t>
      </w:r>
      <w:r>
        <w:tab/>
        <w:t>La typologie des charges</w:t>
      </w:r>
    </w:p>
    <w:p w14:paraId="1BA44260" w14:textId="77777777" w:rsidR="005D07A6" w:rsidRDefault="00F42774">
      <w:pPr>
        <w:pStyle w:val="TNiv3"/>
      </w:pPr>
      <w:r>
        <w:t>Section 4.</w:t>
      </w:r>
      <w:r>
        <w:tab/>
        <w:t>Les différentes « méthodes » de calcul de coûts</w:t>
      </w:r>
    </w:p>
    <w:p w14:paraId="079327BB" w14:textId="77777777" w:rsidR="005D07A6" w:rsidRDefault="00F42774">
      <w:pPr>
        <w:pStyle w:val="TNiv3"/>
      </w:pPr>
      <w:r>
        <w:t>Section 5.</w:t>
      </w:r>
      <w:r>
        <w:tab/>
        <w:t>L’articulation avec la comptabilité financière</w:t>
      </w:r>
    </w:p>
    <w:p w14:paraId="3367F605" w14:textId="77777777" w:rsidR="005D07A6" w:rsidRDefault="00F42774">
      <w:pPr>
        <w:pStyle w:val="TNiv2"/>
      </w:pPr>
      <w:r>
        <w:t>Chapitre 2.</w:t>
      </w:r>
      <w:r>
        <w:tab/>
        <w:t>Le contrôle de gestion</w:t>
      </w:r>
    </w:p>
    <w:p w14:paraId="3655E36D" w14:textId="77777777" w:rsidR="005D07A6" w:rsidRDefault="00F42774">
      <w:pPr>
        <w:pStyle w:val="TNiv3"/>
      </w:pPr>
      <w:r>
        <w:t>Section 1.</w:t>
      </w:r>
      <w:r>
        <w:tab/>
        <w:t>Le processus de contrôle de gestion</w:t>
      </w:r>
    </w:p>
    <w:p w14:paraId="18029CA0" w14:textId="77777777" w:rsidR="005D07A6" w:rsidRDefault="00F42774">
      <w:pPr>
        <w:pStyle w:val="TNiv3"/>
      </w:pPr>
      <w:r>
        <w:t>Section 2.</w:t>
      </w:r>
      <w:r>
        <w:tab/>
        <w:t>Les objectifs du contrôle de gestion</w:t>
      </w:r>
    </w:p>
    <w:p w14:paraId="373F594D" w14:textId="77777777" w:rsidR="005D07A6" w:rsidRDefault="00F42774">
      <w:pPr>
        <w:pStyle w:val="TNiv3"/>
      </w:pPr>
      <w:r>
        <w:t>Section 3.</w:t>
      </w:r>
      <w:r>
        <w:tab/>
        <w:t>Le contrôle de gestion, outil cybernétique de régulation</w:t>
      </w:r>
    </w:p>
    <w:p w14:paraId="1451BB23" w14:textId="77777777" w:rsidR="005D07A6" w:rsidRDefault="00F42774">
      <w:pPr>
        <w:pStyle w:val="TNiv3"/>
      </w:pPr>
      <w:r>
        <w:t>Section 4.</w:t>
      </w:r>
      <w:r>
        <w:tab/>
        <w:t>Le métier de contrôleur de gestion</w:t>
      </w:r>
    </w:p>
    <w:p w14:paraId="1E84F13A" w14:textId="77777777" w:rsidR="005D07A6" w:rsidRDefault="00F42774">
      <w:pPr>
        <w:pStyle w:val="TNiv3"/>
      </w:pPr>
      <w:r>
        <w:t>Section 5.</w:t>
      </w:r>
      <w:r>
        <w:tab/>
        <w:t>Les outils du contrôle de gestion</w:t>
      </w:r>
    </w:p>
    <w:p w14:paraId="6D270ACB" w14:textId="77777777" w:rsidR="005D07A6" w:rsidRDefault="00F42774">
      <w:pPr>
        <w:pStyle w:val="TNiv3"/>
      </w:pPr>
      <w:r>
        <w:t>Section 6.</w:t>
      </w:r>
      <w:r>
        <w:tab/>
        <w:t>Les différentes approches du contrôle de gestion</w:t>
      </w:r>
    </w:p>
    <w:p w14:paraId="0DD60DF4" w14:textId="77777777" w:rsidR="005D07A6" w:rsidRDefault="00F42774">
      <w:pPr>
        <w:pStyle w:val="TNiv3"/>
      </w:pPr>
      <w:r>
        <w:t>Section 7.</w:t>
      </w:r>
      <w:r>
        <w:tab/>
        <w:t>Le contrôle de gestion et la théorie des organisations</w:t>
      </w:r>
    </w:p>
    <w:p w14:paraId="67E1F506" w14:textId="77777777" w:rsidR="005D07A6" w:rsidRDefault="00F42774">
      <w:pPr>
        <w:pStyle w:val="TNiv1"/>
      </w:pPr>
      <w:r>
        <w:t>Partie 2</w:t>
      </w:r>
      <w:r>
        <w:tab/>
        <w:t>La méthode traditionnelle de calcul du coût complet</w:t>
      </w:r>
    </w:p>
    <w:p w14:paraId="6281C789" w14:textId="77777777" w:rsidR="005D07A6" w:rsidRDefault="00F42774">
      <w:pPr>
        <w:pStyle w:val="TNiv2"/>
      </w:pPr>
      <w:r>
        <w:t>Chapitre 1.</w:t>
      </w:r>
      <w:r>
        <w:tab/>
        <w:t>Les étapes de calcul du coût complet</w:t>
      </w:r>
    </w:p>
    <w:p w14:paraId="27D0C33D" w14:textId="77777777" w:rsidR="005D07A6" w:rsidRDefault="00F42774">
      <w:pPr>
        <w:pStyle w:val="TNiv3"/>
      </w:pPr>
      <w:r>
        <w:t>Section 1.</w:t>
      </w:r>
      <w:r>
        <w:tab/>
        <w:t>Le processus de production</w:t>
      </w:r>
    </w:p>
    <w:p w14:paraId="0EDEC74A" w14:textId="77777777" w:rsidR="005D07A6" w:rsidRDefault="00F42774">
      <w:pPr>
        <w:pStyle w:val="TNiv3"/>
      </w:pPr>
      <w:r>
        <w:t>Section 2.</w:t>
      </w:r>
      <w:r>
        <w:tab/>
        <w:t>Le problème des variations de stocks</w:t>
      </w:r>
    </w:p>
    <w:p w14:paraId="13902A57" w14:textId="77777777" w:rsidR="005D07A6" w:rsidRDefault="00F42774">
      <w:pPr>
        <w:pStyle w:val="TNiv3"/>
      </w:pPr>
      <w:r>
        <w:t>Section 3.</w:t>
      </w:r>
      <w:r>
        <w:tab/>
        <w:t>Les étapes de calcul</w:t>
      </w:r>
    </w:p>
    <w:p w14:paraId="1CB517E3" w14:textId="77777777" w:rsidR="005D07A6" w:rsidRDefault="00F42774">
      <w:pPr>
        <w:pStyle w:val="TNiv3"/>
      </w:pPr>
      <w:r>
        <w:t>Section 4.</w:t>
      </w:r>
      <w:r>
        <w:tab/>
        <w:t>La valeur des stocks en comptabilité financière</w:t>
      </w:r>
    </w:p>
    <w:p w14:paraId="6A620F7E" w14:textId="77777777" w:rsidR="005D07A6" w:rsidRDefault="00F42774">
      <w:pPr>
        <w:pStyle w:val="TNiv2"/>
      </w:pPr>
      <w:r>
        <w:t>Chapitre 2.</w:t>
      </w:r>
      <w:r>
        <w:tab/>
        <w:t>Le traitement des charges indirectes</w:t>
      </w:r>
    </w:p>
    <w:p w14:paraId="4EF93F2C" w14:textId="77777777" w:rsidR="005D07A6" w:rsidRDefault="00F42774">
      <w:pPr>
        <w:pStyle w:val="TNiv3"/>
      </w:pPr>
      <w:r>
        <w:t>Section 1.</w:t>
      </w:r>
      <w:r>
        <w:tab/>
        <w:t>Le schéma général</w:t>
      </w:r>
    </w:p>
    <w:p w14:paraId="4AF95220" w14:textId="77777777" w:rsidR="005D07A6" w:rsidRDefault="00F42774">
      <w:pPr>
        <w:pStyle w:val="TNiv3"/>
      </w:pPr>
      <w:r>
        <w:t>Section 2.</w:t>
      </w:r>
      <w:r>
        <w:tab/>
        <w:t>Les centres d’analyse</w:t>
      </w:r>
    </w:p>
    <w:p w14:paraId="59D078FB" w14:textId="77777777" w:rsidR="005D07A6" w:rsidRDefault="00F42774">
      <w:pPr>
        <w:pStyle w:val="TNiv3"/>
      </w:pPr>
      <w:r>
        <w:t>Section 3.</w:t>
      </w:r>
      <w:r>
        <w:tab/>
        <w:t>Les unités d’œuvre</w:t>
      </w:r>
    </w:p>
    <w:p w14:paraId="2DBE097B" w14:textId="77777777" w:rsidR="005D07A6" w:rsidRDefault="00F42774">
      <w:pPr>
        <w:pStyle w:val="TNiv3"/>
      </w:pPr>
      <w:r>
        <w:t>Section 4.</w:t>
      </w:r>
      <w:r>
        <w:tab/>
        <w:t>L’imputation au coût des produits</w:t>
      </w:r>
    </w:p>
    <w:p w14:paraId="6E7E746B" w14:textId="77777777" w:rsidR="005D07A6" w:rsidRDefault="00F42774">
      <w:pPr>
        <w:pStyle w:val="TNiv2"/>
      </w:pPr>
      <w:r>
        <w:t>Chapitre 3.</w:t>
      </w:r>
      <w:r>
        <w:tab/>
        <w:t>Les différents types de coûts</w:t>
      </w:r>
    </w:p>
    <w:p w14:paraId="04452AAE" w14:textId="77777777" w:rsidR="005D07A6" w:rsidRDefault="00F42774">
      <w:pPr>
        <w:pStyle w:val="TNiv3"/>
      </w:pPr>
      <w:r>
        <w:t>Section 1.</w:t>
      </w:r>
      <w:r>
        <w:tab/>
        <w:t>Les coûts d’approvisionnement</w:t>
      </w:r>
    </w:p>
    <w:p w14:paraId="6C8307C9" w14:textId="77777777" w:rsidR="005D07A6" w:rsidRDefault="00F42774">
      <w:pPr>
        <w:pStyle w:val="TNiv3"/>
      </w:pPr>
      <w:r>
        <w:t>Section 2.</w:t>
      </w:r>
      <w:r>
        <w:tab/>
        <w:t>La tenue des comptes de stocks</w:t>
      </w:r>
    </w:p>
    <w:p w14:paraId="79CE9B28" w14:textId="77777777" w:rsidR="005D07A6" w:rsidRDefault="00F42774">
      <w:pPr>
        <w:pStyle w:val="TNiv3"/>
      </w:pPr>
      <w:r>
        <w:t>Section 3.</w:t>
      </w:r>
      <w:r>
        <w:tab/>
        <w:t>Les coûts de production</w:t>
      </w:r>
    </w:p>
    <w:p w14:paraId="06235887" w14:textId="77777777" w:rsidR="005D07A6" w:rsidRDefault="00F42774">
      <w:pPr>
        <w:pStyle w:val="TNiv3"/>
      </w:pPr>
      <w:r>
        <w:t>Section 4.</w:t>
      </w:r>
      <w:r>
        <w:tab/>
        <w:t>Les coûts de distribution</w:t>
      </w:r>
    </w:p>
    <w:p w14:paraId="1507E46C" w14:textId="77777777" w:rsidR="005D07A6" w:rsidRDefault="00F42774">
      <w:pPr>
        <w:pStyle w:val="TNiv3"/>
      </w:pPr>
      <w:r>
        <w:t>Section 5.</w:t>
      </w:r>
      <w:r>
        <w:tab/>
        <w:t>Les coûts de revient</w:t>
      </w:r>
    </w:p>
    <w:p w14:paraId="6AD2D19B" w14:textId="77777777" w:rsidR="005D07A6" w:rsidRDefault="00F42774">
      <w:pPr>
        <w:pStyle w:val="TNiv3"/>
      </w:pPr>
      <w:r>
        <w:t>Section 6.</w:t>
      </w:r>
      <w:r>
        <w:tab/>
        <w:t>Les résultats analytiques</w:t>
      </w:r>
    </w:p>
    <w:p w14:paraId="34C0275D" w14:textId="77777777" w:rsidR="005D07A6" w:rsidRDefault="00F42774">
      <w:pPr>
        <w:pStyle w:val="TNiv2"/>
      </w:pPr>
      <w:r>
        <w:lastRenderedPageBreak/>
        <w:t>Chapitre 4.</w:t>
      </w:r>
      <w:r>
        <w:tab/>
        <w:t>Corrélation et prestations réciproques</w:t>
      </w:r>
    </w:p>
    <w:p w14:paraId="4AB2DE98" w14:textId="77777777" w:rsidR="005D07A6" w:rsidRDefault="00F42774">
      <w:pPr>
        <w:pStyle w:val="TNiv3"/>
      </w:pPr>
      <w:r>
        <w:t>Section 1.</w:t>
      </w:r>
      <w:r>
        <w:tab/>
        <w:t>Éléments essentiels de statistiques</w:t>
      </w:r>
    </w:p>
    <w:p w14:paraId="4B1255D1" w14:textId="77777777" w:rsidR="005D07A6" w:rsidRDefault="00F42774">
      <w:pPr>
        <w:pStyle w:val="TNiv3"/>
      </w:pPr>
      <w:r>
        <w:t>Section 2.</w:t>
      </w:r>
      <w:r>
        <w:tab/>
        <w:t>Prestations réciproques</w:t>
      </w:r>
    </w:p>
    <w:p w14:paraId="197322A6" w14:textId="77777777" w:rsidR="005D07A6" w:rsidRDefault="00F42774">
      <w:pPr>
        <w:pStyle w:val="TNiv1"/>
      </w:pPr>
      <w:r>
        <w:t>Partie 3</w:t>
      </w:r>
      <w:r>
        <w:tab/>
        <w:t>La méthode ABC</w:t>
      </w:r>
    </w:p>
    <w:p w14:paraId="7104E71C" w14:textId="77777777" w:rsidR="005D07A6" w:rsidRDefault="00F42774">
      <w:pPr>
        <w:pStyle w:val="TNiv2"/>
      </w:pPr>
      <w:r>
        <w:t>Chapitre 1.</w:t>
      </w:r>
      <w:r>
        <w:tab/>
        <w:t>La genèse de la méthode ABC</w:t>
      </w:r>
    </w:p>
    <w:p w14:paraId="64230ED6" w14:textId="77777777" w:rsidR="005D07A6" w:rsidRDefault="00F42774">
      <w:pPr>
        <w:pStyle w:val="TNiv3"/>
      </w:pPr>
      <w:r>
        <w:t>Section 1.</w:t>
      </w:r>
      <w:r>
        <w:tab/>
        <w:t>Le pilotage et les coûts complets</w:t>
      </w:r>
    </w:p>
    <w:p w14:paraId="2FFD16B6" w14:textId="77777777" w:rsidR="005D07A6" w:rsidRDefault="00F42774">
      <w:pPr>
        <w:pStyle w:val="TNiv3"/>
      </w:pPr>
      <w:r>
        <w:t>Section 2.</w:t>
      </w:r>
      <w:r>
        <w:tab/>
        <w:t>Les hypothèses implicites de la méthode des centres d’analyse</w:t>
      </w:r>
    </w:p>
    <w:p w14:paraId="1B5D1E55" w14:textId="77777777" w:rsidR="005D07A6" w:rsidRDefault="00F42774">
      <w:pPr>
        <w:pStyle w:val="TNiv3"/>
      </w:pPr>
      <w:r>
        <w:t>Section 3.</w:t>
      </w:r>
      <w:r>
        <w:tab/>
        <w:t>Les risques liés au calcul d’un coût complet</w:t>
      </w:r>
    </w:p>
    <w:p w14:paraId="5E617107" w14:textId="77777777" w:rsidR="005D07A6" w:rsidRDefault="00F42774">
      <w:pPr>
        <w:pStyle w:val="TNiv2"/>
      </w:pPr>
      <w:r>
        <w:t>Chapitre 2.</w:t>
      </w:r>
      <w:r>
        <w:tab/>
        <w:t>La méthode ABC : une nouvelle approche</w:t>
      </w:r>
    </w:p>
    <w:p w14:paraId="5B3A04B0" w14:textId="77777777" w:rsidR="005D07A6" w:rsidRDefault="00F42774">
      <w:pPr>
        <w:pStyle w:val="TNiv3"/>
      </w:pPr>
      <w:r>
        <w:t>Section 1.</w:t>
      </w:r>
      <w:r>
        <w:tab/>
        <w:t>Une approche stratégique</w:t>
      </w:r>
    </w:p>
    <w:p w14:paraId="5BD2CA66" w14:textId="77777777" w:rsidR="005D07A6" w:rsidRDefault="00F42774">
      <w:pPr>
        <w:pStyle w:val="TNiv3"/>
      </w:pPr>
      <w:r>
        <w:t>Section 2.</w:t>
      </w:r>
      <w:r>
        <w:tab/>
        <w:t>Du produit à l’activité</w:t>
      </w:r>
    </w:p>
    <w:p w14:paraId="40AB8B90" w14:textId="77777777" w:rsidR="005D07A6" w:rsidRDefault="00F42774">
      <w:pPr>
        <w:pStyle w:val="TNiv3"/>
      </w:pPr>
      <w:r>
        <w:t>Section 3.</w:t>
      </w:r>
      <w:r>
        <w:tab/>
        <w:t>Le management à base d’activités ou ABM (</w:t>
      </w:r>
      <w:r>
        <w:rPr>
          <w:i/>
          <w:iCs/>
          <w:color w:val="008000"/>
        </w:rPr>
        <w:t>Activity Based Management</w:t>
      </w:r>
      <w:r>
        <w:t>)</w:t>
      </w:r>
    </w:p>
    <w:p w14:paraId="1015EB5B" w14:textId="77777777" w:rsidR="005D07A6" w:rsidRDefault="00F42774">
      <w:pPr>
        <w:pStyle w:val="TNiv2"/>
      </w:pPr>
      <w:r>
        <w:t>Chapitre 3.</w:t>
      </w:r>
      <w:r>
        <w:tab/>
        <w:t>La mise en œuvre de la méthode ABC</w:t>
      </w:r>
    </w:p>
    <w:p w14:paraId="33F2C5F2" w14:textId="77777777" w:rsidR="005D07A6" w:rsidRDefault="00F42774">
      <w:pPr>
        <w:pStyle w:val="TNiv3"/>
      </w:pPr>
      <w:r>
        <w:t>Section 1.</w:t>
      </w:r>
      <w:r>
        <w:tab/>
        <w:t>L’élaboration de la carte des activités</w:t>
      </w:r>
    </w:p>
    <w:p w14:paraId="03A09E1F" w14:textId="77777777" w:rsidR="005D07A6" w:rsidRDefault="00F42774">
      <w:pPr>
        <w:pStyle w:val="TNiv3"/>
      </w:pPr>
      <w:r>
        <w:t>Section 2.</w:t>
      </w:r>
      <w:r>
        <w:tab/>
        <w:t>La simplification de la carte et le regroupement des activités par inducteur</w:t>
      </w:r>
    </w:p>
    <w:p w14:paraId="43DED07F" w14:textId="77777777" w:rsidR="005D07A6" w:rsidRDefault="00F42774">
      <w:pPr>
        <w:pStyle w:val="TNiv3"/>
      </w:pPr>
      <w:r>
        <w:t>Section 3.</w:t>
      </w:r>
      <w:r>
        <w:tab/>
        <w:t>La synthèse des principales étapes</w:t>
      </w:r>
    </w:p>
    <w:p w14:paraId="55F16BAE" w14:textId="77777777" w:rsidR="005D07A6" w:rsidRDefault="00F42774">
      <w:pPr>
        <w:pStyle w:val="TNiv2"/>
      </w:pPr>
      <w:r>
        <w:t>Chapitre 4.</w:t>
      </w:r>
      <w:r>
        <w:tab/>
        <w:t>L’appréciation critique de la méthode ABC</w:t>
      </w:r>
    </w:p>
    <w:p w14:paraId="29BCE05B" w14:textId="77777777" w:rsidR="005D07A6" w:rsidRDefault="00F42774">
      <w:pPr>
        <w:pStyle w:val="TNiv1"/>
      </w:pPr>
      <w:r>
        <w:t>Partie 4</w:t>
      </w:r>
      <w:r>
        <w:tab/>
        <w:t>L’imputation rationnelle des charges fixes</w:t>
      </w:r>
    </w:p>
    <w:p w14:paraId="4DF7DD59" w14:textId="77777777" w:rsidR="005D07A6" w:rsidRDefault="00F42774">
      <w:pPr>
        <w:pStyle w:val="TNiv2"/>
      </w:pPr>
      <w:r>
        <w:t>Chapitre 1.</w:t>
      </w:r>
      <w:r>
        <w:tab/>
        <w:t>Le principe de l’imputation rationnelle</w:t>
      </w:r>
    </w:p>
    <w:p w14:paraId="38F37474" w14:textId="77777777" w:rsidR="005D07A6" w:rsidRDefault="00F42774">
      <w:pPr>
        <w:pStyle w:val="TNiv3"/>
      </w:pPr>
      <w:r>
        <w:t>Section 1.</w:t>
      </w:r>
      <w:r>
        <w:tab/>
        <w:t>Le comportement du coût unitaire en fonction de l’activité</w:t>
      </w:r>
    </w:p>
    <w:p w14:paraId="6EC746CD" w14:textId="77777777" w:rsidR="005D07A6" w:rsidRDefault="00F42774">
      <w:pPr>
        <w:pStyle w:val="TNiv3"/>
      </w:pPr>
      <w:r>
        <w:t>Section 2.</w:t>
      </w:r>
      <w:r>
        <w:tab/>
        <w:t>La difficulté d’interpréter les résultats</w:t>
      </w:r>
    </w:p>
    <w:p w14:paraId="6DF41D4E" w14:textId="77777777" w:rsidR="005D07A6" w:rsidRDefault="00F42774">
      <w:pPr>
        <w:pStyle w:val="TNiv2"/>
      </w:pPr>
      <w:r>
        <w:t>Chapitre 2.</w:t>
      </w:r>
      <w:r>
        <w:tab/>
        <w:t>Le coût d’imputation rationnelle</w:t>
      </w:r>
    </w:p>
    <w:p w14:paraId="49153CD6" w14:textId="77777777" w:rsidR="005D07A6" w:rsidRDefault="00F42774">
      <w:pPr>
        <w:pStyle w:val="TNiv3"/>
      </w:pPr>
      <w:r>
        <w:t>Section 1.</w:t>
      </w:r>
      <w:r>
        <w:tab/>
        <w:t>La différence d’imputation rationnelle et l’analyse des résultats</w:t>
      </w:r>
    </w:p>
    <w:p w14:paraId="4ECBAF30" w14:textId="77777777" w:rsidR="005D07A6" w:rsidRDefault="00F42774">
      <w:pPr>
        <w:pStyle w:val="TNiv3"/>
      </w:pPr>
      <w:r>
        <w:t>Section 2.</w:t>
      </w:r>
      <w:r>
        <w:tab/>
        <w:t>L’imputation rationnelle et les centres d’analyse</w:t>
      </w:r>
    </w:p>
    <w:p w14:paraId="770CAF48" w14:textId="77777777" w:rsidR="005D07A6" w:rsidRDefault="00F42774">
      <w:pPr>
        <w:pStyle w:val="TAnnuelSerie"/>
      </w:pPr>
      <w:r>
        <w:t>Cours 2</w:t>
      </w:r>
    </w:p>
    <w:p w14:paraId="3CAD5E1C" w14:textId="77777777" w:rsidR="005D07A6" w:rsidRDefault="00F42774">
      <w:pPr>
        <w:pStyle w:val="TNiv1"/>
      </w:pPr>
      <w:r>
        <w:t>Partie 5</w:t>
      </w:r>
      <w:r>
        <w:tab/>
        <w:t>Les coûts partiels</w:t>
      </w:r>
    </w:p>
    <w:p w14:paraId="620022E0" w14:textId="77777777" w:rsidR="005D07A6" w:rsidRDefault="00F42774">
      <w:pPr>
        <w:pStyle w:val="TNiv2"/>
      </w:pPr>
      <w:r>
        <w:t>Chapitre 1.</w:t>
      </w:r>
      <w:r>
        <w:tab/>
        <w:t>La méthode des coûts variables</w:t>
      </w:r>
    </w:p>
    <w:p w14:paraId="3A46C8E3" w14:textId="77777777" w:rsidR="005D07A6" w:rsidRDefault="00F42774">
      <w:pPr>
        <w:pStyle w:val="TNiv3"/>
      </w:pPr>
      <w:r>
        <w:t>Section 1.</w:t>
      </w:r>
      <w:r>
        <w:tab/>
        <w:t>Le comportement des charges</w:t>
      </w:r>
    </w:p>
    <w:p w14:paraId="48957A51" w14:textId="77777777" w:rsidR="005D07A6" w:rsidRDefault="00F42774">
      <w:pPr>
        <w:pStyle w:val="TNiv3"/>
      </w:pPr>
      <w:r>
        <w:t>Section 2.</w:t>
      </w:r>
      <w:r>
        <w:tab/>
        <w:t>Les marges sur coûts variables (Mcv)</w:t>
      </w:r>
    </w:p>
    <w:p w14:paraId="298244B4" w14:textId="77777777" w:rsidR="005D07A6" w:rsidRDefault="00F42774">
      <w:pPr>
        <w:pStyle w:val="TNiv3"/>
      </w:pPr>
      <w:r>
        <w:t>Section 3.</w:t>
      </w:r>
      <w:r>
        <w:tab/>
        <w:t>L’appréciation de la méthode</w:t>
      </w:r>
    </w:p>
    <w:p w14:paraId="0592679D" w14:textId="77777777" w:rsidR="005D07A6" w:rsidRDefault="00F42774">
      <w:pPr>
        <w:pStyle w:val="TNiv2"/>
      </w:pPr>
      <w:r>
        <w:t>Chapitre 2.</w:t>
      </w:r>
      <w:r>
        <w:tab/>
        <w:t>La méthode des coûts spécifiques</w:t>
      </w:r>
    </w:p>
    <w:p w14:paraId="5C9DAAAE" w14:textId="77777777" w:rsidR="005D07A6" w:rsidRDefault="00F42774">
      <w:pPr>
        <w:pStyle w:val="TNiv3"/>
      </w:pPr>
      <w:r>
        <w:t>Section 1.</w:t>
      </w:r>
      <w:r>
        <w:tab/>
        <w:t>La démarche sous-jacente</w:t>
      </w:r>
    </w:p>
    <w:p w14:paraId="27A9BB57" w14:textId="77777777" w:rsidR="005D07A6" w:rsidRDefault="00F42774">
      <w:pPr>
        <w:pStyle w:val="TNiv3"/>
      </w:pPr>
      <w:r>
        <w:t>Section 2.</w:t>
      </w:r>
      <w:r>
        <w:tab/>
        <w:t>La marge sur coûts spécifiques</w:t>
      </w:r>
    </w:p>
    <w:p w14:paraId="3584C230" w14:textId="77777777" w:rsidR="005D07A6" w:rsidRDefault="00F42774">
      <w:pPr>
        <w:pStyle w:val="TNiv3"/>
      </w:pPr>
      <w:r>
        <w:t>Section 3.</w:t>
      </w:r>
      <w:r>
        <w:tab/>
        <w:t>L’appréciation de la méthode</w:t>
      </w:r>
    </w:p>
    <w:p w14:paraId="411A6D26" w14:textId="77777777" w:rsidR="005D07A6" w:rsidRDefault="00F42774">
      <w:pPr>
        <w:pStyle w:val="TNiv2"/>
      </w:pPr>
      <w:r>
        <w:t>Chapitre 3.</w:t>
      </w:r>
      <w:r>
        <w:tab/>
        <w:t>Le coût marginal</w:t>
      </w:r>
    </w:p>
    <w:p w14:paraId="2DDA301C" w14:textId="77777777" w:rsidR="005D07A6" w:rsidRDefault="00F42774">
      <w:pPr>
        <w:pStyle w:val="TNiv3"/>
      </w:pPr>
      <w:r>
        <w:t>Section 1.</w:t>
      </w:r>
      <w:r>
        <w:tab/>
        <w:t>Composantes du coût marginal</w:t>
      </w:r>
    </w:p>
    <w:p w14:paraId="26746BD4" w14:textId="77777777" w:rsidR="005D07A6" w:rsidRDefault="00F42774">
      <w:pPr>
        <w:pStyle w:val="TNiv3"/>
      </w:pPr>
      <w:r>
        <w:t>Section 2.</w:t>
      </w:r>
      <w:r>
        <w:tab/>
        <w:t>Utilité pour la gestion</w:t>
      </w:r>
    </w:p>
    <w:p w14:paraId="5B596CB2" w14:textId="77777777" w:rsidR="005D07A6" w:rsidRDefault="00F42774">
      <w:pPr>
        <w:pStyle w:val="TNiv1"/>
      </w:pPr>
      <w:r>
        <w:t>Partie 6</w:t>
      </w:r>
      <w:r>
        <w:tab/>
        <w:t>Le modÈLE coût-volume-profit</w:t>
      </w:r>
    </w:p>
    <w:p w14:paraId="10ABC9D9" w14:textId="77777777" w:rsidR="005D07A6" w:rsidRDefault="00F42774">
      <w:pPr>
        <w:pStyle w:val="TNiv2"/>
      </w:pPr>
      <w:r>
        <w:t>Chapitre 1.</w:t>
      </w:r>
      <w:r>
        <w:tab/>
        <w:t>L’analyse du risque d’exploitation</w:t>
      </w:r>
    </w:p>
    <w:p w14:paraId="296B53DD" w14:textId="77777777" w:rsidR="005D07A6" w:rsidRDefault="00F42774">
      <w:pPr>
        <w:pStyle w:val="TNiv3"/>
      </w:pPr>
      <w:r>
        <w:t>Section 1.</w:t>
      </w:r>
      <w:r>
        <w:tab/>
        <w:t>Le seuil de rentabilité</w:t>
      </w:r>
    </w:p>
    <w:p w14:paraId="157D0A72" w14:textId="77777777" w:rsidR="005D07A6" w:rsidRDefault="00F42774">
      <w:pPr>
        <w:pStyle w:val="TNiv3"/>
      </w:pPr>
      <w:r>
        <w:t>Section 2.</w:t>
      </w:r>
      <w:r>
        <w:tab/>
        <w:t>L’appréciation du risque</w:t>
      </w:r>
    </w:p>
    <w:p w14:paraId="790683FD" w14:textId="77777777" w:rsidR="005D07A6" w:rsidRDefault="00F42774">
      <w:pPr>
        <w:pStyle w:val="TNiv2"/>
      </w:pPr>
      <w:r>
        <w:t>Chapitre 2.</w:t>
      </w:r>
      <w:r>
        <w:tab/>
        <w:t>La politique de prix</w:t>
      </w:r>
    </w:p>
    <w:p w14:paraId="0A02732E" w14:textId="77777777" w:rsidR="005D07A6" w:rsidRDefault="00F42774">
      <w:pPr>
        <w:pStyle w:val="TNiv3"/>
      </w:pPr>
      <w:r>
        <w:t>Section 1.</w:t>
      </w:r>
      <w:r>
        <w:tab/>
        <w:t>Élasticité prix de la demande</w:t>
      </w:r>
    </w:p>
    <w:p w14:paraId="1B095F57" w14:textId="77777777" w:rsidR="005D07A6" w:rsidRDefault="00F42774">
      <w:pPr>
        <w:pStyle w:val="TNiv3"/>
      </w:pPr>
      <w:r>
        <w:t>Section 2.</w:t>
      </w:r>
      <w:r>
        <w:tab/>
        <w:t>Recherche de l’optimum et de la zone de profitabilité</w:t>
      </w:r>
    </w:p>
    <w:p w14:paraId="519B45DA" w14:textId="77777777" w:rsidR="005D07A6" w:rsidRDefault="00F42774">
      <w:pPr>
        <w:pStyle w:val="TNiv1"/>
      </w:pPr>
      <w:r>
        <w:t>Partie 7</w:t>
      </w:r>
      <w:r>
        <w:tab/>
        <w:t>Les variables aléatoires</w:t>
      </w:r>
    </w:p>
    <w:p w14:paraId="4CD38D58" w14:textId="77777777" w:rsidR="005D07A6" w:rsidRDefault="00F42774">
      <w:pPr>
        <w:pStyle w:val="TNiv2"/>
      </w:pPr>
      <w:r>
        <w:t>Chapitre 1.</w:t>
      </w:r>
      <w:r>
        <w:tab/>
        <w:t>Rappels mathématiques de statistiques</w:t>
      </w:r>
    </w:p>
    <w:p w14:paraId="6AE237F1" w14:textId="77777777" w:rsidR="005D07A6" w:rsidRDefault="00F42774">
      <w:pPr>
        <w:pStyle w:val="TNiv2"/>
      </w:pPr>
      <w:r>
        <w:t>Chapitre 2.</w:t>
      </w:r>
      <w:r>
        <w:tab/>
        <w:t>Rappels mathématiques sur les variables aléatoires</w:t>
      </w:r>
    </w:p>
    <w:p w14:paraId="038903A1" w14:textId="77777777" w:rsidR="005D07A6" w:rsidRDefault="00F42774">
      <w:pPr>
        <w:pStyle w:val="TNiv2"/>
      </w:pPr>
      <w:r>
        <w:lastRenderedPageBreak/>
        <w:t>Chapitre 3.</w:t>
      </w:r>
      <w:r>
        <w:tab/>
        <w:t>Appréciation du risque par la prise en compte de données aléatoires</w:t>
      </w:r>
    </w:p>
    <w:p w14:paraId="3A5CDA55" w14:textId="77777777" w:rsidR="005D07A6" w:rsidRDefault="00F42774">
      <w:pPr>
        <w:pStyle w:val="TNiv3"/>
      </w:pPr>
      <w:r>
        <w:t>Section 1.</w:t>
      </w:r>
      <w:r>
        <w:tab/>
        <w:t>Les ventes aléatoires</w:t>
      </w:r>
    </w:p>
    <w:p w14:paraId="1730B41E" w14:textId="77777777" w:rsidR="005D07A6" w:rsidRDefault="00F42774">
      <w:pPr>
        <w:pStyle w:val="TNiv3"/>
      </w:pPr>
      <w:r>
        <w:t>Section 2.</w:t>
      </w:r>
      <w:r>
        <w:tab/>
        <w:t>Approfondissements</w:t>
      </w:r>
    </w:p>
    <w:p w14:paraId="427A9015" w14:textId="77777777" w:rsidR="005D07A6" w:rsidRDefault="00F42774">
      <w:pPr>
        <w:pStyle w:val="TAnnuelSerie"/>
      </w:pPr>
      <w:r>
        <w:t>Cours 3</w:t>
      </w:r>
    </w:p>
    <w:p w14:paraId="72F63D68" w14:textId="77777777" w:rsidR="005D07A6" w:rsidRDefault="00F42774">
      <w:pPr>
        <w:pStyle w:val="TNiv1"/>
      </w:pPr>
      <w:r>
        <w:t>Partie 8</w:t>
      </w:r>
      <w:r>
        <w:tab/>
        <w:t>La procédure budgétaire</w:t>
      </w:r>
    </w:p>
    <w:p w14:paraId="6B9EBF6E" w14:textId="77777777" w:rsidR="005D07A6" w:rsidRDefault="00F42774">
      <w:pPr>
        <w:pStyle w:val="TNiv2"/>
      </w:pPr>
      <w:r>
        <w:t>Chapitre 1.</w:t>
      </w:r>
      <w:r>
        <w:tab/>
        <w:t>La gestion budgétaire</w:t>
      </w:r>
    </w:p>
    <w:p w14:paraId="4422DA85" w14:textId="77777777" w:rsidR="005D07A6" w:rsidRDefault="00F42774">
      <w:pPr>
        <w:pStyle w:val="TNiv3"/>
      </w:pPr>
      <w:r>
        <w:t>Section 1.</w:t>
      </w:r>
      <w:r>
        <w:tab/>
        <w:t>Définition et étymologie</w:t>
      </w:r>
    </w:p>
    <w:p w14:paraId="0825E807" w14:textId="77777777" w:rsidR="005D07A6" w:rsidRDefault="00F42774">
      <w:pPr>
        <w:pStyle w:val="TNiv3"/>
      </w:pPr>
      <w:r>
        <w:t>Section 2.</w:t>
      </w:r>
      <w:r>
        <w:tab/>
        <w:t>Objectifs de la gestion budgétaire</w:t>
      </w:r>
    </w:p>
    <w:p w14:paraId="31430180" w14:textId="77777777" w:rsidR="005D07A6" w:rsidRDefault="00F42774">
      <w:pPr>
        <w:pStyle w:val="TNiv2"/>
      </w:pPr>
      <w:r>
        <w:t>Chapitre 2.</w:t>
      </w:r>
      <w:r>
        <w:tab/>
        <w:t>Le fonctionnement des budgets</w:t>
      </w:r>
    </w:p>
    <w:p w14:paraId="729D64BD" w14:textId="77777777" w:rsidR="005D07A6" w:rsidRDefault="00F42774">
      <w:pPr>
        <w:pStyle w:val="TNiv3"/>
      </w:pPr>
      <w:r>
        <w:t>Section 1.</w:t>
      </w:r>
      <w:r>
        <w:tab/>
        <w:t>L’articulation plans-programmes-budgets</w:t>
      </w:r>
    </w:p>
    <w:p w14:paraId="1B2E8D51" w14:textId="77777777" w:rsidR="005D07A6" w:rsidRDefault="00F42774">
      <w:pPr>
        <w:pStyle w:val="TNiv3"/>
      </w:pPr>
      <w:r>
        <w:t>Section 2.</w:t>
      </w:r>
      <w:r>
        <w:tab/>
        <w:t>Le cycle budgétaire</w:t>
      </w:r>
    </w:p>
    <w:p w14:paraId="63F00A35" w14:textId="77777777" w:rsidR="005D07A6" w:rsidRDefault="00F42774">
      <w:pPr>
        <w:pStyle w:val="TNiv3"/>
      </w:pPr>
      <w:r>
        <w:t>Section 3.</w:t>
      </w:r>
      <w:r>
        <w:tab/>
        <w:t>La notion de budget « flexible »</w:t>
      </w:r>
    </w:p>
    <w:p w14:paraId="0AC46C6C" w14:textId="77777777" w:rsidR="005D07A6" w:rsidRDefault="00F42774">
      <w:pPr>
        <w:pStyle w:val="TNiv3"/>
      </w:pPr>
      <w:r>
        <w:t>Section 4.</w:t>
      </w:r>
      <w:r>
        <w:tab/>
        <w:t>Les budgets des services « généraux »</w:t>
      </w:r>
    </w:p>
    <w:p w14:paraId="2C80248E" w14:textId="77777777" w:rsidR="005D07A6" w:rsidRDefault="00F42774">
      <w:pPr>
        <w:pStyle w:val="TNiv3"/>
      </w:pPr>
      <w:r>
        <w:t>Section 5.</w:t>
      </w:r>
      <w:r>
        <w:tab/>
        <w:t>Conclusion</w:t>
      </w:r>
    </w:p>
    <w:p w14:paraId="4B0733B4" w14:textId="77777777" w:rsidR="005D07A6" w:rsidRDefault="00F42774">
      <w:pPr>
        <w:pStyle w:val="TNiv2"/>
      </w:pPr>
      <w:r>
        <w:t>Chapitre 3.</w:t>
      </w:r>
      <w:r>
        <w:tab/>
        <w:t>Le budget et les centres de responsabilité</w:t>
      </w:r>
    </w:p>
    <w:p w14:paraId="6E574B3E" w14:textId="77777777" w:rsidR="005D07A6" w:rsidRDefault="00F42774">
      <w:pPr>
        <w:pStyle w:val="TNiv3"/>
      </w:pPr>
      <w:r>
        <w:t>Section 1.</w:t>
      </w:r>
      <w:r>
        <w:tab/>
        <w:t>Définition des centres de responsabilité</w:t>
      </w:r>
    </w:p>
    <w:p w14:paraId="25EE74F9" w14:textId="77777777" w:rsidR="005D07A6" w:rsidRDefault="00F42774">
      <w:pPr>
        <w:pStyle w:val="TNiv3"/>
      </w:pPr>
      <w:r>
        <w:t>Section 2.</w:t>
      </w:r>
      <w:r>
        <w:tab/>
        <w:t>Les différents types de centres</w:t>
      </w:r>
    </w:p>
    <w:p w14:paraId="480A3A37" w14:textId="77777777" w:rsidR="005D07A6" w:rsidRDefault="00F42774">
      <w:pPr>
        <w:pStyle w:val="TNiv3"/>
      </w:pPr>
      <w:r>
        <w:t>Section 3.</w:t>
      </w:r>
      <w:r>
        <w:tab/>
        <w:t>Le contrôle des centres de responsabilité</w:t>
      </w:r>
    </w:p>
    <w:p w14:paraId="4B682DF1" w14:textId="77777777" w:rsidR="005D07A6" w:rsidRDefault="00F42774">
      <w:pPr>
        <w:pStyle w:val="TNiv2"/>
      </w:pPr>
      <w:r>
        <w:t>Chapitre 4.</w:t>
      </w:r>
      <w:r>
        <w:tab/>
        <w:t>Le budget de trésorerie et les documents de synthèse prévisionnels</w:t>
      </w:r>
    </w:p>
    <w:p w14:paraId="76B747D8" w14:textId="77777777" w:rsidR="005D07A6" w:rsidRDefault="00F42774">
      <w:pPr>
        <w:pStyle w:val="TNiv3"/>
      </w:pPr>
      <w:r>
        <w:t>Section 1.</w:t>
      </w:r>
      <w:r>
        <w:tab/>
        <w:t>Le budget des encaissements</w:t>
      </w:r>
    </w:p>
    <w:p w14:paraId="704C2CBE" w14:textId="77777777" w:rsidR="005D07A6" w:rsidRDefault="00F42774">
      <w:pPr>
        <w:pStyle w:val="TNiv3"/>
      </w:pPr>
      <w:r>
        <w:t>Section 2.</w:t>
      </w:r>
      <w:r>
        <w:tab/>
        <w:t>Le budget de la TVA à décaisser</w:t>
      </w:r>
    </w:p>
    <w:p w14:paraId="355D57DB" w14:textId="77777777" w:rsidR="005D07A6" w:rsidRDefault="00F42774">
      <w:pPr>
        <w:pStyle w:val="TNiv3"/>
      </w:pPr>
      <w:r>
        <w:t>Section 3.</w:t>
      </w:r>
      <w:r>
        <w:tab/>
        <w:t>Le budget des décaissements</w:t>
      </w:r>
    </w:p>
    <w:p w14:paraId="59003683" w14:textId="77777777" w:rsidR="005D07A6" w:rsidRDefault="00F42774">
      <w:pPr>
        <w:pStyle w:val="TNiv3"/>
      </w:pPr>
      <w:r>
        <w:t>Section 4.</w:t>
      </w:r>
      <w:r>
        <w:tab/>
        <w:t>Le budget général ou récapitulatif</w:t>
      </w:r>
    </w:p>
    <w:p w14:paraId="78382424" w14:textId="77777777" w:rsidR="005D07A6" w:rsidRDefault="00F42774">
      <w:pPr>
        <w:pStyle w:val="TNiv3"/>
      </w:pPr>
      <w:r>
        <w:t>Section 5.</w:t>
      </w:r>
      <w:r>
        <w:tab/>
        <w:t>Les comptes prévisionnels</w:t>
      </w:r>
    </w:p>
    <w:p w14:paraId="1CCF7024" w14:textId="77777777" w:rsidR="005D07A6" w:rsidRDefault="00F42774">
      <w:pPr>
        <w:pStyle w:val="TNiv1"/>
      </w:pPr>
      <w:r>
        <w:t>Partie 9</w:t>
      </w:r>
      <w:r>
        <w:tab/>
        <w:t>La gestion des ventes</w:t>
      </w:r>
    </w:p>
    <w:p w14:paraId="5D0DE0AE" w14:textId="77777777" w:rsidR="005D07A6" w:rsidRDefault="00F42774">
      <w:pPr>
        <w:pStyle w:val="TNiv2"/>
      </w:pPr>
      <w:r>
        <w:t>Chapitre 1.</w:t>
      </w:r>
      <w:r>
        <w:tab/>
        <w:t>La prévision des ventes</w:t>
      </w:r>
    </w:p>
    <w:p w14:paraId="7871579D" w14:textId="77777777" w:rsidR="005D07A6" w:rsidRDefault="00F42774">
      <w:pPr>
        <w:pStyle w:val="TNiv3"/>
      </w:pPr>
      <w:r>
        <w:t>Section 1.</w:t>
      </w:r>
      <w:r>
        <w:tab/>
        <w:t>Les modèles statistiques de prévision</w:t>
      </w:r>
    </w:p>
    <w:p w14:paraId="2F3B0B29" w14:textId="77777777" w:rsidR="005D07A6" w:rsidRDefault="00F42774">
      <w:pPr>
        <w:pStyle w:val="TNiv3"/>
      </w:pPr>
      <w:r>
        <w:t>Section 2.</w:t>
      </w:r>
      <w:r>
        <w:tab/>
        <w:t>La prise en compte de la saisonnalité des ventes</w:t>
      </w:r>
    </w:p>
    <w:p w14:paraId="0727F7BE" w14:textId="77777777" w:rsidR="005D07A6" w:rsidRDefault="00F42774">
      <w:pPr>
        <w:pStyle w:val="TNiv2"/>
      </w:pPr>
      <w:r>
        <w:t>Chapitre 2.</w:t>
      </w:r>
      <w:r>
        <w:tab/>
        <w:t>Les approches marketing</w:t>
      </w:r>
    </w:p>
    <w:p w14:paraId="2357F151" w14:textId="77777777" w:rsidR="005D07A6" w:rsidRDefault="00F42774">
      <w:pPr>
        <w:pStyle w:val="TNiv3"/>
      </w:pPr>
      <w:r>
        <w:t>Section 1.</w:t>
      </w:r>
      <w:r>
        <w:tab/>
        <w:t>Le cycle de vie du produit</w:t>
      </w:r>
    </w:p>
    <w:p w14:paraId="7FD17A3A" w14:textId="77777777" w:rsidR="005D07A6" w:rsidRDefault="00F42774">
      <w:pPr>
        <w:pStyle w:val="TNiv3"/>
      </w:pPr>
      <w:r>
        <w:t>Section 2.</w:t>
      </w:r>
      <w:r>
        <w:tab/>
        <w:t>Les études qualitatives</w:t>
      </w:r>
    </w:p>
    <w:p w14:paraId="224B000E" w14:textId="77777777" w:rsidR="005D07A6" w:rsidRDefault="00F42774">
      <w:pPr>
        <w:pStyle w:val="TNiv3"/>
      </w:pPr>
      <w:r>
        <w:t>Section 3.</w:t>
      </w:r>
      <w:r>
        <w:tab/>
        <w:t>Les aspects volontaristes : les objectifs commerciaux</w:t>
      </w:r>
    </w:p>
    <w:p w14:paraId="324DCBAA" w14:textId="77777777" w:rsidR="005D07A6" w:rsidRDefault="00F42774">
      <w:pPr>
        <w:pStyle w:val="TNiv3"/>
      </w:pPr>
      <w:r>
        <w:t>Section 4.</w:t>
      </w:r>
      <w:r>
        <w:tab/>
        <w:t>Les effets d’élasticité et la politique commerciale</w:t>
      </w:r>
    </w:p>
    <w:p w14:paraId="6D8B0389" w14:textId="77777777" w:rsidR="005D07A6" w:rsidRDefault="00F42774">
      <w:pPr>
        <w:pStyle w:val="TNiv1"/>
      </w:pPr>
      <w:r>
        <w:t>Partie 10</w:t>
      </w:r>
      <w:r>
        <w:tab/>
        <w:t>La gestion des stocks et des approvisionnements</w:t>
      </w:r>
    </w:p>
    <w:p w14:paraId="09138341" w14:textId="77777777" w:rsidR="005D07A6" w:rsidRDefault="00F42774">
      <w:pPr>
        <w:pStyle w:val="TNiv2"/>
      </w:pPr>
      <w:r>
        <w:t>Chapitre 1.</w:t>
      </w:r>
      <w:r>
        <w:tab/>
        <w:t>Le suivi administratif des stocks</w:t>
      </w:r>
    </w:p>
    <w:p w14:paraId="4C9EF80E" w14:textId="77777777" w:rsidR="005D07A6" w:rsidRDefault="00F42774">
      <w:pPr>
        <w:pStyle w:val="TNiv2"/>
      </w:pPr>
      <w:r>
        <w:t>Chapitre 2.</w:t>
      </w:r>
      <w:r>
        <w:tab/>
        <w:t>Les principaux modèles de gestion de stocks en avenir certain</w:t>
      </w:r>
    </w:p>
    <w:p w14:paraId="099F07B5" w14:textId="77777777" w:rsidR="005D07A6" w:rsidRDefault="00F42774">
      <w:pPr>
        <w:pStyle w:val="TNiv3"/>
      </w:pPr>
      <w:r>
        <w:t>Section 1.</w:t>
      </w:r>
      <w:r>
        <w:tab/>
        <w:t>La présentation des paramètres</w:t>
      </w:r>
    </w:p>
    <w:p w14:paraId="34F75D55" w14:textId="77777777" w:rsidR="005D07A6" w:rsidRDefault="00F42774">
      <w:pPr>
        <w:pStyle w:val="TNiv3"/>
      </w:pPr>
      <w:r>
        <w:t>Section 2.</w:t>
      </w:r>
      <w:r>
        <w:tab/>
        <w:t>Le modèle de Wilson</w:t>
      </w:r>
    </w:p>
    <w:p w14:paraId="10C450A9" w14:textId="77777777" w:rsidR="005D07A6" w:rsidRDefault="00F42774">
      <w:pPr>
        <w:pStyle w:val="TNiv3"/>
      </w:pPr>
      <w:r>
        <w:t>Section 3.</w:t>
      </w:r>
      <w:r>
        <w:tab/>
        <w:t>Le modèle intégrant un stock de sécurité</w:t>
      </w:r>
    </w:p>
    <w:p w14:paraId="56572182" w14:textId="77777777" w:rsidR="005D07A6" w:rsidRDefault="00F42774">
      <w:pPr>
        <w:pStyle w:val="TNiv3"/>
      </w:pPr>
      <w:r>
        <w:t>Section 4.</w:t>
      </w:r>
      <w:r>
        <w:tab/>
        <w:t>Le stock d’alerte (ou stock critique)</w:t>
      </w:r>
    </w:p>
    <w:p w14:paraId="67AD6851" w14:textId="77777777" w:rsidR="005D07A6" w:rsidRDefault="00F42774">
      <w:pPr>
        <w:pStyle w:val="TNiv3"/>
      </w:pPr>
      <w:r>
        <w:t>Section 5.</w:t>
      </w:r>
      <w:r>
        <w:tab/>
        <w:t>Le modèle avec tarifs dégressifs</w:t>
      </w:r>
    </w:p>
    <w:p w14:paraId="0287E171" w14:textId="77777777" w:rsidR="005D07A6" w:rsidRDefault="00F42774">
      <w:pPr>
        <w:pStyle w:val="TNiv2"/>
      </w:pPr>
      <w:r>
        <w:t>Chapitre 3.</w:t>
      </w:r>
      <w:r>
        <w:tab/>
        <w:t>Les modèles de gestion de stocks en avenir incertain</w:t>
      </w:r>
    </w:p>
    <w:p w14:paraId="31E062C0" w14:textId="77777777" w:rsidR="005D07A6" w:rsidRDefault="00F42774">
      <w:pPr>
        <w:pStyle w:val="TNiv3"/>
      </w:pPr>
      <w:r>
        <w:t>Section 1.</w:t>
      </w:r>
      <w:r>
        <w:tab/>
        <w:t>La demande est une variable aléatoire</w:t>
      </w:r>
    </w:p>
    <w:p w14:paraId="08392A29" w14:textId="77777777" w:rsidR="005D07A6" w:rsidRDefault="00F42774">
      <w:pPr>
        <w:pStyle w:val="TNiv3"/>
      </w:pPr>
      <w:r>
        <w:t>Section 2.</w:t>
      </w:r>
      <w:r>
        <w:tab/>
        <w:t>La demande est connue mais non linéaire</w:t>
      </w:r>
    </w:p>
    <w:p w14:paraId="1413192D" w14:textId="77777777" w:rsidR="005D07A6" w:rsidRDefault="00F42774">
      <w:pPr>
        <w:pStyle w:val="TNiv2"/>
      </w:pPr>
      <w:r>
        <w:t>Chapitre 4.</w:t>
      </w:r>
      <w:r>
        <w:tab/>
        <w:t>Le juste-à-temps (JAT)</w:t>
      </w:r>
    </w:p>
    <w:p w14:paraId="3BB98241" w14:textId="77777777" w:rsidR="005D07A6" w:rsidRDefault="00F42774">
      <w:pPr>
        <w:pStyle w:val="TNiv3"/>
      </w:pPr>
      <w:r>
        <w:t>Section 1.</w:t>
      </w:r>
      <w:r>
        <w:tab/>
        <w:t>Un enjeu essentiel : la suppression des stocks</w:t>
      </w:r>
    </w:p>
    <w:p w14:paraId="56C6C636" w14:textId="77777777" w:rsidR="005D07A6" w:rsidRDefault="00F42774">
      <w:pPr>
        <w:pStyle w:val="TNiv3"/>
      </w:pPr>
      <w:r>
        <w:t>Section 2.</w:t>
      </w:r>
      <w:r>
        <w:tab/>
        <w:t>Les conditions organisationnelles pour la réussite du JAT</w:t>
      </w:r>
    </w:p>
    <w:p w14:paraId="22AEF437" w14:textId="77777777" w:rsidR="005D07A6" w:rsidRDefault="00F42774">
      <w:pPr>
        <w:pStyle w:val="TNiv1"/>
      </w:pPr>
      <w:r>
        <w:t>Partie 11</w:t>
      </w:r>
      <w:r>
        <w:tab/>
        <w:t>La gestion de la production</w:t>
      </w:r>
    </w:p>
    <w:p w14:paraId="2CDB995B" w14:textId="77777777" w:rsidR="005D07A6" w:rsidRDefault="00F42774">
      <w:pPr>
        <w:pStyle w:val="TNiv2"/>
      </w:pPr>
      <w:r>
        <w:t>Chapitre 1.</w:t>
      </w:r>
      <w:r>
        <w:tab/>
        <w:t>Le pilotage du système de production</w:t>
      </w:r>
    </w:p>
    <w:p w14:paraId="7F96F472" w14:textId="77777777" w:rsidR="005D07A6" w:rsidRDefault="00F42774">
      <w:pPr>
        <w:pStyle w:val="TNiv3"/>
      </w:pPr>
      <w:r>
        <w:lastRenderedPageBreak/>
        <w:t>Section 1.</w:t>
      </w:r>
      <w:r>
        <w:tab/>
        <w:t>Le pilotage par l’amont</w:t>
      </w:r>
    </w:p>
    <w:p w14:paraId="5D2CC90D" w14:textId="77777777" w:rsidR="005D07A6" w:rsidRDefault="00F42774">
      <w:pPr>
        <w:pStyle w:val="TNiv3"/>
      </w:pPr>
      <w:r>
        <w:t>Section 2.</w:t>
      </w:r>
      <w:r>
        <w:tab/>
        <w:t>Le pilotage par l’aval (ou modèle Toyota)</w:t>
      </w:r>
    </w:p>
    <w:p w14:paraId="1A29D982" w14:textId="77777777" w:rsidR="005D07A6" w:rsidRDefault="00F42774">
      <w:pPr>
        <w:pStyle w:val="TNiv2"/>
      </w:pPr>
      <w:r>
        <w:t>Chapitre 2.</w:t>
      </w:r>
      <w:r>
        <w:tab/>
        <w:t>Les modèles mathématiques de gestion de la production</w:t>
      </w:r>
    </w:p>
    <w:p w14:paraId="528A0546" w14:textId="77777777" w:rsidR="005D07A6" w:rsidRDefault="00F42774">
      <w:pPr>
        <w:pStyle w:val="TNiv3"/>
      </w:pPr>
      <w:r>
        <w:t>Section 1.</w:t>
      </w:r>
      <w:r>
        <w:tab/>
        <w:t>Monoproduction</w:t>
      </w:r>
    </w:p>
    <w:p w14:paraId="13F93F5A" w14:textId="77777777" w:rsidR="005D07A6" w:rsidRDefault="00F42774">
      <w:pPr>
        <w:pStyle w:val="TNiv3"/>
      </w:pPr>
      <w:r>
        <w:t>Section 2.</w:t>
      </w:r>
      <w:r>
        <w:tab/>
        <w:t>Multiproduction : cas de deux produits</w:t>
      </w:r>
    </w:p>
    <w:p w14:paraId="5C0008E8" w14:textId="77777777" w:rsidR="005D07A6" w:rsidRDefault="00F42774">
      <w:pPr>
        <w:pStyle w:val="TNiv3"/>
      </w:pPr>
      <w:r>
        <w:t>Section 3.</w:t>
      </w:r>
      <w:r>
        <w:tab/>
        <w:t>Multiproduction : autres cas</w:t>
      </w:r>
    </w:p>
    <w:p w14:paraId="08628261" w14:textId="77777777" w:rsidR="005D07A6" w:rsidRDefault="00F42774">
      <w:pPr>
        <w:pStyle w:val="TNiv2"/>
      </w:pPr>
      <w:r>
        <w:t>Chapitre 3.</w:t>
      </w:r>
      <w:r>
        <w:tab/>
        <w:t>Les problèmes d’ordonnancement</w:t>
      </w:r>
    </w:p>
    <w:p w14:paraId="46306B66" w14:textId="77777777" w:rsidR="005D07A6" w:rsidRDefault="00F42774">
      <w:pPr>
        <w:pStyle w:val="TNiv3"/>
      </w:pPr>
      <w:r>
        <w:t>Section 1.</w:t>
      </w:r>
      <w:r>
        <w:tab/>
        <w:t>Les graphes</w:t>
      </w:r>
    </w:p>
    <w:p w14:paraId="4A950FAE" w14:textId="77777777" w:rsidR="005D07A6" w:rsidRDefault="00F42774">
      <w:pPr>
        <w:pStyle w:val="TNiv3"/>
      </w:pPr>
      <w:r>
        <w:t>Section 2.</w:t>
      </w:r>
      <w:r>
        <w:tab/>
        <w:t>La méthode des potentiels Métra (MPM)</w:t>
      </w:r>
    </w:p>
    <w:p w14:paraId="53876811" w14:textId="77777777" w:rsidR="005D07A6" w:rsidRDefault="00F42774">
      <w:pPr>
        <w:pStyle w:val="TNiv3"/>
      </w:pPr>
      <w:r>
        <w:t>Section 3.</w:t>
      </w:r>
      <w:r>
        <w:tab/>
        <w:t>Le diagramme de Gantt</w:t>
      </w:r>
    </w:p>
    <w:p w14:paraId="0CB0368F" w14:textId="77777777" w:rsidR="005D07A6" w:rsidRDefault="00F42774">
      <w:pPr>
        <w:pStyle w:val="TNiv1"/>
      </w:pPr>
      <w:r>
        <w:t>Partie 12</w:t>
      </w:r>
      <w:r>
        <w:tab/>
        <w:t>La gestion de la masse salariale</w:t>
      </w:r>
    </w:p>
    <w:p w14:paraId="5F29D261" w14:textId="77777777" w:rsidR="005D07A6" w:rsidRDefault="00F42774">
      <w:pPr>
        <w:pStyle w:val="TNiv2"/>
      </w:pPr>
      <w:r>
        <w:t>Chapitre 1.</w:t>
      </w:r>
      <w:r>
        <w:tab/>
        <w:t>La prévision de la masse salariale</w:t>
      </w:r>
    </w:p>
    <w:p w14:paraId="6278C98C" w14:textId="77777777" w:rsidR="005D07A6" w:rsidRDefault="00F42774">
      <w:pPr>
        <w:pStyle w:val="TNiv2"/>
      </w:pPr>
      <w:r>
        <w:t>Chapitre 2.</w:t>
      </w:r>
      <w:r>
        <w:tab/>
        <w:t>Les conséquences de la politique salariale sur la masse salariale</w:t>
      </w:r>
    </w:p>
    <w:p w14:paraId="4ED8F8CB" w14:textId="77777777" w:rsidR="005D07A6" w:rsidRDefault="00F42774">
      <w:pPr>
        <w:pStyle w:val="TNiv3"/>
      </w:pPr>
      <w:r>
        <w:t>Section 1.</w:t>
      </w:r>
      <w:r>
        <w:tab/>
        <w:t>Impact des variations collectives des salaires</w:t>
      </w:r>
    </w:p>
    <w:p w14:paraId="74CD6407" w14:textId="77777777" w:rsidR="005D07A6" w:rsidRDefault="00F42774">
      <w:pPr>
        <w:pStyle w:val="TNiv3"/>
      </w:pPr>
      <w:r>
        <w:t>Section 2.</w:t>
      </w:r>
      <w:r>
        <w:tab/>
        <w:t>Variations individuelles des salaires</w:t>
      </w:r>
    </w:p>
    <w:p w14:paraId="06834A0C" w14:textId="77777777" w:rsidR="005D07A6" w:rsidRDefault="00F42774">
      <w:pPr>
        <w:pStyle w:val="TNiv2"/>
      </w:pPr>
      <w:r>
        <w:t>Chapitre 3.</w:t>
      </w:r>
      <w:r>
        <w:tab/>
        <w:t>Les écarts sur masse salariale</w:t>
      </w:r>
    </w:p>
    <w:p w14:paraId="75BC583E" w14:textId="77777777" w:rsidR="005D07A6" w:rsidRDefault="00F42774">
      <w:pPr>
        <w:pStyle w:val="TAnnuelSerie"/>
      </w:pPr>
      <w:r>
        <w:t>Cours 4</w:t>
      </w:r>
    </w:p>
    <w:p w14:paraId="559230F7" w14:textId="77777777" w:rsidR="005D07A6" w:rsidRDefault="00F42774">
      <w:pPr>
        <w:pStyle w:val="TNiv1"/>
      </w:pPr>
      <w:r>
        <w:t>Partie 13</w:t>
      </w:r>
      <w:r>
        <w:tab/>
        <w:t>Le contrôle budgétaire</w:t>
      </w:r>
    </w:p>
    <w:p w14:paraId="646D6A0A" w14:textId="77777777" w:rsidR="005D07A6" w:rsidRDefault="00F42774">
      <w:pPr>
        <w:pStyle w:val="TNiv2"/>
      </w:pPr>
      <w:r>
        <w:t>Chapitre 1.</w:t>
      </w:r>
      <w:r>
        <w:tab/>
        <w:t>Les analyses d’écarts</w:t>
      </w:r>
    </w:p>
    <w:p w14:paraId="5489FA91" w14:textId="77777777" w:rsidR="005D07A6" w:rsidRDefault="00F42774">
      <w:pPr>
        <w:pStyle w:val="TNiv3"/>
      </w:pPr>
      <w:r>
        <w:t>Section 1.</w:t>
      </w:r>
      <w:r>
        <w:tab/>
        <w:t>Généralités sur les écarts</w:t>
      </w:r>
    </w:p>
    <w:p w14:paraId="4C5E6CF5" w14:textId="77777777" w:rsidR="005D07A6" w:rsidRDefault="00F42774">
      <w:pPr>
        <w:pStyle w:val="TNiv3"/>
      </w:pPr>
      <w:r>
        <w:t>Section 2.</w:t>
      </w:r>
      <w:r>
        <w:tab/>
        <w:t>Éléments fondamentaux de calcul des écarts</w:t>
      </w:r>
    </w:p>
    <w:p w14:paraId="5D86DC80" w14:textId="77777777" w:rsidR="005D07A6" w:rsidRDefault="00F42774">
      <w:pPr>
        <w:pStyle w:val="TNiv2"/>
      </w:pPr>
      <w:r>
        <w:t>Chapitre 2.</w:t>
      </w:r>
      <w:r>
        <w:tab/>
        <w:t>Les écarts et leur décomposition</w:t>
      </w:r>
    </w:p>
    <w:p w14:paraId="19C6111D" w14:textId="77777777" w:rsidR="005D07A6" w:rsidRDefault="00F42774">
      <w:pPr>
        <w:pStyle w:val="TNiv3"/>
      </w:pPr>
      <w:r>
        <w:t>Section 1.</w:t>
      </w:r>
      <w:r>
        <w:tab/>
        <w:t>Écarts sur chiffre d’affaires</w:t>
      </w:r>
    </w:p>
    <w:p w14:paraId="5E8B4D9D" w14:textId="77777777" w:rsidR="005D07A6" w:rsidRDefault="00F42774">
      <w:pPr>
        <w:pStyle w:val="TNiv3"/>
      </w:pPr>
      <w:r>
        <w:t>Section 2.</w:t>
      </w:r>
      <w:r>
        <w:tab/>
        <w:t>Écarts sur coûts</w:t>
      </w:r>
    </w:p>
    <w:p w14:paraId="212D7633" w14:textId="77777777" w:rsidR="005D07A6" w:rsidRDefault="00F42774">
      <w:pPr>
        <w:pStyle w:val="TNiv3"/>
      </w:pPr>
      <w:r>
        <w:t>Section 3.</w:t>
      </w:r>
      <w:r>
        <w:tab/>
        <w:t>Écarts sur résultat et écarts sur marge</w:t>
      </w:r>
    </w:p>
    <w:p w14:paraId="681C4729" w14:textId="77777777" w:rsidR="005D07A6" w:rsidRDefault="00F42774">
      <w:pPr>
        <w:pStyle w:val="TNiv3"/>
      </w:pPr>
      <w:r>
        <w:t>Section 4.</w:t>
      </w:r>
      <w:r>
        <w:tab/>
        <w:t>Écarts de composition</w:t>
      </w:r>
    </w:p>
    <w:p w14:paraId="1FE2D86C" w14:textId="77777777" w:rsidR="005D07A6" w:rsidRDefault="00F42774">
      <w:pPr>
        <w:pStyle w:val="TNiv1"/>
      </w:pPr>
      <w:r>
        <w:t>Partie 14</w:t>
      </w:r>
      <w:r>
        <w:tab/>
        <w:t>Les tableaux de bord</w:t>
      </w:r>
    </w:p>
    <w:p w14:paraId="5C95699F" w14:textId="77777777" w:rsidR="005D07A6" w:rsidRDefault="00F42774">
      <w:pPr>
        <w:pStyle w:val="TNiv2"/>
      </w:pPr>
      <w:r>
        <w:t>Chapitre 1.</w:t>
      </w:r>
      <w:r>
        <w:tab/>
        <w:t>Les objectifs des tableaux de bord</w:t>
      </w:r>
    </w:p>
    <w:p w14:paraId="6B01D00D" w14:textId="77777777" w:rsidR="005D07A6" w:rsidRDefault="00F42774">
      <w:pPr>
        <w:pStyle w:val="TNiv3"/>
      </w:pPr>
      <w:r>
        <w:t>Section 1.</w:t>
      </w:r>
      <w:r>
        <w:tab/>
        <w:t>Les tableaux de bord : outils de pilotage</w:t>
      </w:r>
    </w:p>
    <w:p w14:paraId="3F977404" w14:textId="77777777" w:rsidR="005D07A6" w:rsidRDefault="00F42774">
      <w:pPr>
        <w:pStyle w:val="TNiv3"/>
      </w:pPr>
      <w:r>
        <w:t>Section 2.</w:t>
      </w:r>
      <w:r>
        <w:tab/>
        <w:t>Les tableaux de bord : outils de communication</w:t>
      </w:r>
    </w:p>
    <w:p w14:paraId="304A8982" w14:textId="77777777" w:rsidR="005D07A6" w:rsidRDefault="00F42774">
      <w:pPr>
        <w:pStyle w:val="TNiv3"/>
      </w:pPr>
      <w:r>
        <w:t>Section 3.</w:t>
      </w:r>
      <w:r>
        <w:tab/>
        <w:t>Les tableaux de bord : outils d’évaluation des responsables</w:t>
      </w:r>
    </w:p>
    <w:p w14:paraId="368A01B7" w14:textId="77777777" w:rsidR="005D07A6" w:rsidRDefault="00F42774">
      <w:pPr>
        <w:pStyle w:val="TNiv2"/>
      </w:pPr>
      <w:r>
        <w:t>Chapitre 2.</w:t>
      </w:r>
      <w:r>
        <w:tab/>
        <w:t>Le contenu du tableau de bord</w:t>
      </w:r>
    </w:p>
    <w:p w14:paraId="677099E0" w14:textId="77777777" w:rsidR="005D07A6" w:rsidRDefault="00F42774">
      <w:pPr>
        <w:pStyle w:val="TNiv3"/>
      </w:pPr>
      <w:r>
        <w:t>Section 1.</w:t>
      </w:r>
      <w:r>
        <w:tab/>
        <w:t>Principes de sélection des indicateurs</w:t>
      </w:r>
    </w:p>
    <w:p w14:paraId="65CC22C1" w14:textId="77777777" w:rsidR="005D07A6" w:rsidRDefault="00F42774">
      <w:pPr>
        <w:pStyle w:val="TNiv3"/>
      </w:pPr>
      <w:r>
        <w:t>Section 2.</w:t>
      </w:r>
      <w:r>
        <w:tab/>
        <w:t>Classement selon la nature des indicateurs</w:t>
      </w:r>
    </w:p>
    <w:p w14:paraId="635E3408" w14:textId="77777777" w:rsidR="005D07A6" w:rsidRDefault="00F42774">
      <w:pPr>
        <w:pStyle w:val="TNiv3"/>
      </w:pPr>
      <w:r>
        <w:t>Section 3.</w:t>
      </w:r>
      <w:r>
        <w:tab/>
        <w:t>Présentation des tableaux de bord</w:t>
      </w:r>
    </w:p>
    <w:p w14:paraId="2FFF02A8" w14:textId="77777777" w:rsidR="005D07A6" w:rsidRDefault="00F42774">
      <w:pPr>
        <w:pStyle w:val="TNiv2"/>
      </w:pPr>
      <w:r>
        <w:t>Chapitre 3.</w:t>
      </w:r>
      <w:r>
        <w:tab/>
        <w:t>Les limites des tableaux de bord</w:t>
      </w:r>
    </w:p>
    <w:p w14:paraId="6515A226" w14:textId="77777777" w:rsidR="005D07A6" w:rsidRDefault="00F42774">
      <w:pPr>
        <w:pStyle w:val="TNiv3"/>
      </w:pPr>
      <w:r>
        <w:t>Section 1.</w:t>
      </w:r>
      <w:r>
        <w:tab/>
        <w:t>Limites</w:t>
      </w:r>
    </w:p>
    <w:p w14:paraId="09FA71B6" w14:textId="77777777" w:rsidR="005D07A6" w:rsidRDefault="00F42774">
      <w:pPr>
        <w:pStyle w:val="TNiv3"/>
      </w:pPr>
      <w:r>
        <w:t>Section 2.</w:t>
      </w:r>
      <w:r>
        <w:tab/>
        <w:t>Pour dépasser ces limites</w:t>
      </w:r>
    </w:p>
    <w:p w14:paraId="67E907CA" w14:textId="77777777" w:rsidR="005D07A6" w:rsidRDefault="00F42774">
      <w:pPr>
        <w:pStyle w:val="TNiv1"/>
      </w:pPr>
      <w:r>
        <w:t>Partie 15</w:t>
      </w:r>
      <w:r>
        <w:tab/>
        <w:t>La gestion de la qualité</w:t>
      </w:r>
    </w:p>
    <w:p w14:paraId="71DCC4D2" w14:textId="77777777" w:rsidR="005D07A6" w:rsidRDefault="00F42774">
      <w:pPr>
        <w:pStyle w:val="TNiv2"/>
      </w:pPr>
      <w:r>
        <w:t>Chapitre 1.</w:t>
      </w:r>
      <w:r>
        <w:tab/>
        <w:t>Les enjeux de la qualité</w:t>
      </w:r>
    </w:p>
    <w:p w14:paraId="3D779078" w14:textId="77777777" w:rsidR="005D07A6" w:rsidRDefault="00F42774">
      <w:pPr>
        <w:pStyle w:val="TNiv3"/>
      </w:pPr>
      <w:r>
        <w:t>Section 1.</w:t>
      </w:r>
      <w:r>
        <w:tab/>
        <w:t>Qualité, certification et qualité totale</w:t>
      </w:r>
    </w:p>
    <w:p w14:paraId="2EEE1FE4" w14:textId="77777777" w:rsidR="005D07A6" w:rsidRDefault="00F42774">
      <w:pPr>
        <w:pStyle w:val="TNiv3"/>
      </w:pPr>
      <w:r>
        <w:t>Section 2.</w:t>
      </w:r>
      <w:r>
        <w:tab/>
        <w:t>Nature des coûts liés à la qualité</w:t>
      </w:r>
    </w:p>
    <w:p w14:paraId="004A2E92" w14:textId="77777777" w:rsidR="005D07A6" w:rsidRDefault="00F42774">
      <w:pPr>
        <w:pStyle w:val="TNiv2"/>
      </w:pPr>
      <w:r>
        <w:t>Chapitre 2.</w:t>
      </w:r>
      <w:r>
        <w:tab/>
        <w:t>Les outils de gestion de la qualité en amont</w:t>
      </w:r>
    </w:p>
    <w:p w14:paraId="38E9481E" w14:textId="77777777" w:rsidR="005D07A6" w:rsidRDefault="00F42774">
      <w:pPr>
        <w:pStyle w:val="TNiv3"/>
      </w:pPr>
      <w:r>
        <w:t>Section 1.</w:t>
      </w:r>
      <w:r>
        <w:tab/>
        <w:t>Identifier les priorités</w:t>
      </w:r>
    </w:p>
    <w:p w14:paraId="68807FC3" w14:textId="77777777" w:rsidR="005D07A6" w:rsidRDefault="00F42774">
      <w:pPr>
        <w:pStyle w:val="TNiv3"/>
      </w:pPr>
      <w:r>
        <w:t>Section 2.</w:t>
      </w:r>
      <w:r>
        <w:tab/>
        <w:t>Améliorer la qualité en continu</w:t>
      </w:r>
    </w:p>
    <w:p w14:paraId="24B25467" w14:textId="77777777" w:rsidR="005D07A6" w:rsidRDefault="00F42774">
      <w:pPr>
        <w:pStyle w:val="TNiv3"/>
      </w:pPr>
      <w:r>
        <w:t>Section 3.</w:t>
      </w:r>
      <w:r>
        <w:tab/>
        <w:t>Analyser et optimiser les caractéristiques du produit</w:t>
      </w:r>
    </w:p>
    <w:p w14:paraId="685CB0DB" w14:textId="77777777" w:rsidR="005D07A6" w:rsidRDefault="00F42774">
      <w:pPr>
        <w:pStyle w:val="TNiv2"/>
      </w:pPr>
      <w:r>
        <w:t>Chapitre 3.</w:t>
      </w:r>
      <w:r>
        <w:tab/>
        <w:t>Les outils de gestion de la qualité en aval</w:t>
      </w:r>
    </w:p>
    <w:p w14:paraId="46F9BFAA" w14:textId="77777777" w:rsidR="005D07A6" w:rsidRDefault="00F42774">
      <w:pPr>
        <w:pStyle w:val="TNiv3"/>
      </w:pPr>
      <w:r>
        <w:t>Section 1.</w:t>
      </w:r>
      <w:r>
        <w:tab/>
        <w:t>Échantillonnage</w:t>
      </w:r>
    </w:p>
    <w:p w14:paraId="763AAB21" w14:textId="77777777" w:rsidR="005D07A6" w:rsidRDefault="00F42774">
      <w:pPr>
        <w:pStyle w:val="TNiv3"/>
      </w:pPr>
      <w:r>
        <w:lastRenderedPageBreak/>
        <w:t>Section 2.</w:t>
      </w:r>
      <w:r>
        <w:tab/>
        <w:t>Estimation</w:t>
      </w:r>
    </w:p>
    <w:p w14:paraId="43C4110A" w14:textId="77777777" w:rsidR="005D07A6" w:rsidRDefault="00F42774">
      <w:pPr>
        <w:pStyle w:val="finfilet"/>
      </w:pPr>
      <w:r>
        <w:t>Fin Plan_Annuel</w:t>
      </w:r>
    </w:p>
    <w:p w14:paraId="53CE96CE" w14:textId="77777777" w:rsidR="005D07A6" w:rsidRDefault="00F42774">
      <w:pPr>
        <w:pStyle w:val="debutfilet"/>
      </w:pPr>
      <w:r>
        <w:t>Objectifs</w:t>
      </w:r>
    </w:p>
    <w:p w14:paraId="377C4570" w14:textId="77777777" w:rsidR="005D07A6" w:rsidRDefault="00F42774">
      <w:pPr>
        <w:pStyle w:val="TitreRubrique"/>
      </w:pPr>
      <w:r>
        <w:t>Objectifs du cours 1</w:t>
      </w:r>
    </w:p>
    <w:p w14:paraId="3580A30B" w14:textId="77777777" w:rsidR="005D07A6" w:rsidRDefault="00F42774">
      <w:pPr>
        <w:pStyle w:val="ET"/>
      </w:pPr>
      <w:r>
        <w:t>Comprendre la finalité du contrôle de gestion.</w:t>
      </w:r>
    </w:p>
    <w:p w14:paraId="22FBB02B" w14:textId="77777777" w:rsidR="005D07A6" w:rsidRDefault="00F42774">
      <w:pPr>
        <w:pStyle w:val="ET"/>
      </w:pPr>
      <w:r>
        <w:t>Savoir distinguer le contrôle de gestion des autres formes de contrôle.</w:t>
      </w:r>
    </w:p>
    <w:p w14:paraId="2CA22CED" w14:textId="77777777" w:rsidR="005D07A6" w:rsidRDefault="00F42774">
      <w:pPr>
        <w:pStyle w:val="ET"/>
      </w:pPr>
      <w:r>
        <w:t>Comprendre les notions de « charges variables – charges fixes » ; « charges directes – charges indirectes ».</w:t>
      </w:r>
    </w:p>
    <w:p w14:paraId="64A248A0" w14:textId="77777777" w:rsidR="005D07A6" w:rsidRDefault="00F42774">
      <w:pPr>
        <w:pStyle w:val="ET"/>
      </w:pPr>
      <w:r>
        <w:t>Savoir calculer un coût complet par la méthode des centres d’analyse.</w:t>
      </w:r>
    </w:p>
    <w:p w14:paraId="40C91BBC" w14:textId="77777777" w:rsidR="005D07A6" w:rsidRDefault="00F42774">
      <w:pPr>
        <w:pStyle w:val="ET"/>
      </w:pPr>
      <w:r>
        <w:t>Savoir établir un tableau de répartition des charges indirectes.</w:t>
      </w:r>
    </w:p>
    <w:p w14:paraId="7E39CD91" w14:textId="77777777" w:rsidR="005D07A6" w:rsidRDefault="00F42774">
      <w:pPr>
        <w:pStyle w:val="ET"/>
      </w:pPr>
      <w:r>
        <w:t xml:space="preserve">Savoir imputer des charges indirectes </w:t>
      </w:r>
      <w:r>
        <w:rPr>
          <w:i/>
          <w:iCs/>
        </w:rPr>
        <w:t>via</w:t>
      </w:r>
      <w:r>
        <w:t xml:space="preserve"> les unités d’œuvre.</w:t>
      </w:r>
    </w:p>
    <w:p w14:paraId="0A901E74" w14:textId="77777777" w:rsidR="005D07A6" w:rsidRDefault="00F42774">
      <w:pPr>
        <w:pStyle w:val="ET"/>
      </w:pPr>
      <w:r>
        <w:t>Connaître les avantages et les limites de chaque méthode de calcul de coûts.</w:t>
      </w:r>
    </w:p>
    <w:p w14:paraId="55ECF579" w14:textId="77777777" w:rsidR="005D07A6" w:rsidRDefault="00F42774">
      <w:pPr>
        <w:pStyle w:val="ET"/>
      </w:pPr>
      <w:r>
        <w:t>Connaître la méthodologie de mise en œuvre de la méthode à base d’activités.</w:t>
      </w:r>
    </w:p>
    <w:p w14:paraId="7E91F8AC" w14:textId="77777777" w:rsidR="005D07A6" w:rsidRDefault="00F42774">
      <w:pPr>
        <w:pStyle w:val="ET"/>
      </w:pPr>
      <w:r>
        <w:t>Savoir calculer un coût complet avec la méthode des coûts par activité.</w:t>
      </w:r>
    </w:p>
    <w:p w14:paraId="40FDD6E5" w14:textId="77777777" w:rsidR="005D07A6" w:rsidRDefault="00F42774">
      <w:pPr>
        <w:pStyle w:val="ET"/>
      </w:pPr>
      <w:r>
        <w:t>Savoir expliquer la notion de subventionnement croisé.</w:t>
      </w:r>
    </w:p>
    <w:p w14:paraId="6529E522" w14:textId="77777777" w:rsidR="005D07A6" w:rsidRDefault="00F42774">
      <w:pPr>
        <w:pStyle w:val="ET"/>
      </w:pPr>
      <w:r>
        <w:t>Savoir définir le management à base d’activités (ABM).</w:t>
      </w:r>
    </w:p>
    <w:p w14:paraId="1348304E" w14:textId="77777777" w:rsidR="005D07A6" w:rsidRDefault="00F42774">
      <w:pPr>
        <w:pStyle w:val="ET"/>
      </w:pPr>
      <w:r>
        <w:t>Savoir traiter l’effet des variations d’activité.</w:t>
      </w:r>
    </w:p>
    <w:p w14:paraId="5371E9D7" w14:textId="77777777" w:rsidR="005D07A6" w:rsidRDefault="00F42774">
      <w:pPr>
        <w:pStyle w:val="ET"/>
      </w:pPr>
      <w:r>
        <w:t>Savoir calculer et interpréter un coefficient de corrélation linéaire.</w:t>
      </w:r>
    </w:p>
    <w:p w14:paraId="5424BE36" w14:textId="77777777" w:rsidR="005D07A6" w:rsidRDefault="00F42774">
      <w:pPr>
        <w:pStyle w:val="finfilet"/>
      </w:pPr>
      <w:r>
        <w:t>Fin Objectifs</w:t>
      </w:r>
    </w:p>
    <w:p w14:paraId="20A2070B" w14:textId="77777777" w:rsidR="005D07A6" w:rsidRDefault="00F42774">
      <w:pPr>
        <w:pStyle w:val="TIntroPartie"/>
      </w:pPr>
      <w:r>
        <w:t>Introduction</w:t>
      </w:r>
    </w:p>
    <w:p w14:paraId="02F4FA48" w14:textId="77777777" w:rsidR="005D07A6" w:rsidRDefault="00F42774">
      <w:pPr>
        <w:pStyle w:val="CTEspDessous"/>
      </w:pPr>
      <w:r>
        <w:t>La partie 1 présente les missions du contrôle de gestion qui sont multiples et nécessitent l’utilisation de nombreux outils, présentés en faisant le lien avec le contexte décisionnel. Parmi ces outils, la comptabilité de gestion occupe une place privilégiée et sera présentée dès la première partie. Le contrôle de gestion sera défini ensuite.</w:t>
      </w:r>
    </w:p>
    <w:p w14:paraId="0B324200" w14:textId="77777777" w:rsidR="005D07A6" w:rsidRDefault="00F42774">
      <w:pPr>
        <w:pStyle w:val="CTEspDessous"/>
      </w:pPr>
      <w:r>
        <w:t>La partie 2 décrit et développe les techniques « traditionnelles » de calcul des coûts complets telles qu’elles apparaissaient dans le plan comptable général 1982 et étaient présentées en France jusque dans les années 1990.</w:t>
      </w:r>
    </w:p>
    <w:p w14:paraId="221AA311" w14:textId="77777777" w:rsidR="005D07A6" w:rsidRDefault="00F42774">
      <w:pPr>
        <w:pStyle w:val="CTEspDessous"/>
      </w:pPr>
      <w:r>
        <w:t>La partie 3 traite de la méthode ABC, méthode de calcul de coûts complets, alternative à la méthode traditionnelle.</w:t>
      </w:r>
    </w:p>
    <w:p w14:paraId="72EE7BF6" w14:textId="77777777" w:rsidR="005D07A6" w:rsidRDefault="00F42774">
      <w:pPr>
        <w:pStyle w:val="CTEspDessous"/>
      </w:pPr>
      <w:r>
        <w:t>Enfin, la partie 4 présente la technique de l’imputation rationnelle des charges fixes, complémentaire aux coûts complets.</w:t>
      </w:r>
    </w:p>
    <w:p w14:paraId="4216712F" w14:textId="77777777" w:rsidR="005D07A6" w:rsidRDefault="00F42774">
      <w:pPr>
        <w:pStyle w:val="T1"/>
      </w:pPr>
      <w:r>
        <w:t>Partie 1. La comptabilité de gestion et le contrôle de gestion</w:t>
      </w:r>
    </w:p>
    <w:p w14:paraId="7200EE04" w14:textId="77777777" w:rsidR="005D07A6" w:rsidRDefault="00F42774">
      <w:pPr>
        <w:pStyle w:val="T2"/>
      </w:pPr>
      <w:r>
        <w:t>Chapitre 1.</w:t>
      </w:r>
      <w:r>
        <w:tab/>
        <w:t>La comptabilité de gestion</w:t>
      </w:r>
    </w:p>
    <w:p w14:paraId="28B7F668" w14:textId="77777777" w:rsidR="005D07A6" w:rsidRDefault="00F42774">
      <w:pPr>
        <w:pStyle w:val="debutfilet"/>
      </w:pPr>
      <w:r>
        <w:t>Competences_attendues</w:t>
      </w:r>
    </w:p>
    <w:p w14:paraId="3474BD70" w14:textId="77777777" w:rsidR="005D07A6" w:rsidRDefault="00F42774">
      <w:pPr>
        <w:pStyle w:val="ET"/>
      </w:pPr>
      <w:r>
        <w:t>Identifier les coûts, marges et résultats à calculer.</w:t>
      </w:r>
    </w:p>
    <w:p w14:paraId="7D943A5D" w14:textId="77777777" w:rsidR="005D07A6" w:rsidRDefault="00F42774">
      <w:pPr>
        <w:pStyle w:val="ET"/>
      </w:pPr>
      <w:r>
        <w:t>Justifier l’intérêt des différences d’incorporation.</w:t>
      </w:r>
    </w:p>
    <w:p w14:paraId="3A900955" w14:textId="77777777" w:rsidR="005D07A6" w:rsidRDefault="00F42774">
      <w:pPr>
        <w:pStyle w:val="ET"/>
      </w:pPr>
      <w:r>
        <w:t>Justifier la nécessité d’adapter les périmètres de calcul de coûts à l’activité de l’entité et aux besoins d’informations des décideurs.</w:t>
      </w:r>
    </w:p>
    <w:p w14:paraId="42C2CBFC" w14:textId="77777777" w:rsidR="005D07A6" w:rsidRDefault="00F42774">
      <w:pPr>
        <w:pStyle w:val="ET"/>
      </w:pPr>
      <w:r>
        <w:t>Analyser les liens entre la comptabilité financière et la comptabilité de gestion.</w:t>
      </w:r>
    </w:p>
    <w:p w14:paraId="46184EAD" w14:textId="77777777" w:rsidR="005D07A6" w:rsidRDefault="00F42774">
      <w:pPr>
        <w:pStyle w:val="finfilet"/>
      </w:pPr>
      <w:r>
        <w:t>Fin Competences_attendues</w:t>
      </w:r>
    </w:p>
    <w:p w14:paraId="2D8F0B4E" w14:textId="77777777" w:rsidR="005D07A6" w:rsidRDefault="00F42774">
      <w:pPr>
        <w:pStyle w:val="T3"/>
      </w:pPr>
      <w:r>
        <w:t>section 1.</w:t>
      </w:r>
      <w:r>
        <w:tab/>
        <w:t>La définition de la comptabilité de gestion</w:t>
      </w:r>
    </w:p>
    <w:p w14:paraId="63B17B9C" w14:textId="77777777" w:rsidR="005D07A6" w:rsidRDefault="00F42774">
      <w:pPr>
        <w:pStyle w:val="CTEspDessous"/>
      </w:pPr>
      <w:r>
        <w:lastRenderedPageBreak/>
        <w:t xml:space="preserve">La </w:t>
      </w:r>
      <w:r>
        <w:rPr>
          <w:b/>
          <w:bCs/>
        </w:rPr>
        <w:t>comptabilité de gestion</w:t>
      </w:r>
      <w:r>
        <w:rPr>
          <w:highlight w:val="green"/>
        </w:rPr>
        <w:fldChar w:fldCharType="begin"/>
      </w:r>
      <w:r>
        <w:rPr>
          <w:highlight w:val="green"/>
        </w:rPr>
        <w:instrText xml:space="preserve"> XE "</w:instrText>
      </w:r>
      <w:r>
        <w:rPr>
          <w:noProof/>
          <w:highlight w:val="green"/>
        </w:rPr>
        <w:instrText>Comptabilité</w:instrText>
      </w:r>
      <w:r>
        <w:rPr>
          <w:highlight w:val="green"/>
        </w:rPr>
        <w:instrText>:</w:instrText>
      </w:r>
      <w:r>
        <w:rPr>
          <w:noProof/>
          <w:highlight w:val="green"/>
        </w:rPr>
        <w:instrText>– de gestion</w:instrText>
      </w:r>
      <w:r>
        <w:rPr>
          <w:highlight w:val="green"/>
        </w:rPr>
        <w:instrText xml:space="preserve">" </w:instrText>
      </w:r>
      <w:r>
        <w:rPr>
          <w:highlight w:val="green"/>
        </w:rPr>
        <w:fldChar w:fldCharType="end"/>
      </w:r>
      <w:r>
        <w:t xml:space="preserve">, également appelée </w:t>
      </w:r>
      <w:r>
        <w:rPr>
          <w:b/>
          <w:bCs/>
        </w:rPr>
        <w:t>comptabilité analytique</w:t>
      </w:r>
      <w:r>
        <w:rPr>
          <w:highlight w:val="green"/>
        </w:rPr>
        <w:fldChar w:fldCharType="begin"/>
      </w:r>
      <w:r>
        <w:rPr>
          <w:highlight w:val="green"/>
        </w:rPr>
        <w:instrText xml:space="preserve"> XE "</w:instrText>
      </w:r>
      <w:r>
        <w:rPr>
          <w:noProof/>
          <w:highlight w:val="green"/>
        </w:rPr>
        <w:instrText>Comptabilité</w:instrText>
      </w:r>
      <w:r>
        <w:rPr>
          <w:highlight w:val="green"/>
        </w:rPr>
        <w:instrText>:</w:instrText>
      </w:r>
      <w:r>
        <w:rPr>
          <w:noProof/>
          <w:highlight w:val="green"/>
        </w:rPr>
        <w:instrText>– analytique</w:instrText>
      </w:r>
      <w:r>
        <w:rPr>
          <w:highlight w:val="green"/>
        </w:rPr>
        <w:instrText xml:space="preserve">" </w:instrText>
      </w:r>
      <w:r>
        <w:rPr>
          <w:highlight w:val="green"/>
        </w:rPr>
        <w:fldChar w:fldCharType="end"/>
      </w:r>
      <w:r>
        <w:t>, constitue l’une des sources d’information essentielles pour le contrôle de gestion.</w:t>
      </w:r>
    </w:p>
    <w:p w14:paraId="2AE00C6E" w14:textId="77777777" w:rsidR="005D07A6" w:rsidRDefault="00F42774">
      <w:pPr>
        <w:pStyle w:val="CTEspDessous"/>
      </w:pPr>
      <w:r>
        <w:t xml:space="preserve">La comptabilité de gestion, en tant que domaine d’étude formalisé, puise ses racines dans l’organisation des entreprises industrielles du </w:t>
      </w:r>
      <w:r>
        <w:rPr>
          <w:smallCaps/>
        </w:rPr>
        <w:t>xix</w:t>
      </w:r>
      <w:r>
        <w:rPr>
          <w:vertAlign w:val="superscript"/>
        </w:rPr>
        <w:t>e</w:t>
      </w:r>
      <w:r>
        <w:t xml:space="preserve"> siècle. Jusque dans les années 1990 (et dans le PCG 1982) en France, on parlait de </w:t>
      </w:r>
      <w:r>
        <w:rPr>
          <w:b/>
          <w:bCs/>
        </w:rPr>
        <w:t>comptabilité analytique</w:t>
      </w:r>
      <w:r>
        <w:t>.</w:t>
      </w:r>
    </w:p>
    <w:p w14:paraId="70499BFE" w14:textId="77777777" w:rsidR="005D07A6" w:rsidRDefault="00F42774">
      <w:pPr>
        <w:pStyle w:val="debutfilet"/>
      </w:pPr>
      <w:r>
        <w:t>Definition</w:t>
      </w:r>
    </w:p>
    <w:p w14:paraId="52F25CC7" w14:textId="77777777" w:rsidR="005D07A6" w:rsidRDefault="00F42774">
      <w:pPr>
        <w:pStyle w:val="LibelleRubrique"/>
      </w:pPr>
      <w:r>
        <w:t>Définition</w:t>
      </w:r>
    </w:p>
    <w:p w14:paraId="36DE21B9" w14:textId="77777777" w:rsidR="005D07A6" w:rsidRDefault="00F42774">
      <w:pPr>
        <w:pStyle w:val="CT"/>
      </w:pPr>
      <w:r>
        <w:t xml:space="preserve">La </w:t>
      </w:r>
      <w:r>
        <w:rPr>
          <w:b/>
          <w:bCs/>
          <w:i/>
          <w:iCs/>
          <w:color w:val="FF0000"/>
        </w:rPr>
        <w:t>comptabilité de gestion</w:t>
      </w:r>
      <w:r>
        <w:t xml:space="preserve"> (ou </w:t>
      </w:r>
      <w:r>
        <w:rPr>
          <w:b/>
          <w:bCs/>
          <w:i/>
          <w:iCs/>
        </w:rPr>
        <w:t>management accounting</w:t>
      </w:r>
      <w:r>
        <w:rPr>
          <w:highlight w:val="green"/>
        </w:rPr>
        <w:fldChar w:fldCharType="begin"/>
      </w:r>
      <w:r>
        <w:rPr>
          <w:highlight w:val="green"/>
        </w:rPr>
        <w:instrText xml:space="preserve"> XE "</w:instrText>
      </w:r>
      <w:r>
        <w:rPr>
          <w:noProof/>
          <w:highlight w:val="green"/>
        </w:rPr>
        <w:instrText>Management</w:instrText>
      </w:r>
      <w:r>
        <w:rPr>
          <w:highlight w:val="green"/>
        </w:rPr>
        <w:instrText>:</w:instrText>
      </w:r>
      <w:r>
        <w:rPr>
          <w:noProof/>
          <w:highlight w:val="green"/>
        </w:rPr>
        <w:instrText>– management accounting</w:instrText>
      </w:r>
      <w:r>
        <w:rPr>
          <w:highlight w:val="green"/>
        </w:rPr>
        <w:instrText xml:space="preserve">" </w:instrText>
      </w:r>
      <w:r>
        <w:rPr>
          <w:highlight w:val="green"/>
        </w:rPr>
        <w:fldChar w:fldCharType="end"/>
      </w:r>
      <w:r>
        <w:t xml:space="preserve">) est un </w:t>
      </w:r>
      <w:r>
        <w:rPr>
          <w:b/>
          <w:bCs/>
        </w:rPr>
        <w:t>système d’information</w:t>
      </w:r>
      <w:r>
        <w:t xml:space="preserve"> </w:t>
      </w:r>
      <w:r>
        <w:rPr>
          <w:highlight w:val="green"/>
        </w:rPr>
        <w:fldChar w:fldCharType="begin"/>
      </w:r>
      <w:r>
        <w:rPr>
          <w:highlight w:val="green"/>
        </w:rPr>
        <w:instrText xml:space="preserve"> XE "</w:instrText>
      </w:r>
      <w:r>
        <w:rPr>
          <w:noProof/>
          <w:highlight w:val="green"/>
        </w:rPr>
        <w:instrText>Système</w:instrText>
      </w:r>
      <w:r>
        <w:rPr>
          <w:highlight w:val="green"/>
        </w:rPr>
        <w:instrText>:</w:instrText>
      </w:r>
      <w:r>
        <w:rPr>
          <w:noProof/>
          <w:highlight w:val="green"/>
        </w:rPr>
        <w:instrText>– d’information</w:instrText>
      </w:r>
      <w:r>
        <w:rPr>
          <w:highlight w:val="green"/>
        </w:rPr>
        <w:instrText xml:space="preserve">" </w:instrText>
      </w:r>
      <w:r>
        <w:rPr>
          <w:highlight w:val="green"/>
        </w:rPr>
        <w:fldChar w:fldCharType="end"/>
      </w:r>
      <w:r>
        <w:t>permettant d’aider le dirigeant (manager) à prendre des décisions.</w:t>
      </w:r>
    </w:p>
    <w:p w14:paraId="02C09179" w14:textId="77777777" w:rsidR="005D07A6" w:rsidRDefault="00F42774">
      <w:pPr>
        <w:pStyle w:val="finfilet"/>
      </w:pPr>
      <w:r>
        <w:t>Fin Definition</w:t>
      </w:r>
    </w:p>
    <w:p w14:paraId="30998B93" w14:textId="77777777" w:rsidR="005D07A6" w:rsidRDefault="00F42774">
      <w:pPr>
        <w:pStyle w:val="CTEspDessous"/>
      </w:pPr>
      <w:r>
        <w:t xml:space="preserve">On parle de </w:t>
      </w:r>
      <w:r>
        <w:rPr>
          <w:b/>
          <w:bCs/>
        </w:rPr>
        <w:t>système d’information</w:t>
      </w:r>
      <w:r>
        <w:t xml:space="preserve"> pour désigner l’information elle-même, mais aussi toutes les personnes, les procédures, les outils de collecte et de traitement de ces informations.</w:t>
      </w:r>
    </w:p>
    <w:p w14:paraId="0D8C5E39" w14:textId="77777777" w:rsidR="005D07A6" w:rsidRDefault="00F42774">
      <w:pPr>
        <w:pStyle w:val="CTEspDessous"/>
      </w:pPr>
      <w:r>
        <w:t>Le terme « comptabilité » fait référence au verbe « compter », c’est-à-dire additionner. Compter, c’est agréger des informations de nature numérique. La comptabilité est par nature quantitative. Doit-elle être pour autant toujours exprimée en valeur monétaire (en euros) ?</w:t>
      </w:r>
    </w:p>
    <w:p w14:paraId="5D0776B0" w14:textId="77777777" w:rsidR="005D07A6" w:rsidRDefault="00F42774">
      <w:pPr>
        <w:pStyle w:val="debutfilet"/>
      </w:pPr>
      <w:r>
        <w:t>Definition</w:t>
      </w:r>
    </w:p>
    <w:p w14:paraId="026130CF" w14:textId="77777777" w:rsidR="005D07A6" w:rsidRDefault="00F42774">
      <w:pPr>
        <w:pStyle w:val="LibelleRubrique"/>
      </w:pPr>
      <w:r>
        <w:t>Définition</w:t>
      </w:r>
    </w:p>
    <w:p w14:paraId="659A13C5" w14:textId="77777777" w:rsidR="005D07A6" w:rsidRDefault="00F42774">
      <w:pPr>
        <w:pStyle w:val="CT"/>
      </w:pPr>
      <w:r>
        <w:t xml:space="preserve">La </w:t>
      </w:r>
      <w:r>
        <w:rPr>
          <w:b/>
          <w:bCs/>
          <w:i/>
          <w:iCs/>
          <w:color w:val="FF0000"/>
        </w:rPr>
        <w:t>comptabilité</w:t>
      </w:r>
      <w:r>
        <w:rPr>
          <w:highlight w:val="green"/>
        </w:rPr>
        <w:fldChar w:fldCharType="begin"/>
      </w:r>
      <w:r>
        <w:rPr>
          <w:highlight w:val="green"/>
        </w:rPr>
        <w:instrText xml:space="preserve"> XE "</w:instrText>
      </w:r>
      <w:r>
        <w:rPr>
          <w:noProof/>
          <w:highlight w:val="green"/>
        </w:rPr>
        <w:instrText>Comptabilité</w:instrText>
      </w:r>
      <w:r>
        <w:rPr>
          <w:highlight w:val="green"/>
        </w:rPr>
        <w:instrText xml:space="preserve">" </w:instrText>
      </w:r>
      <w:r>
        <w:rPr>
          <w:highlight w:val="green"/>
        </w:rPr>
        <w:fldChar w:fldCharType="end"/>
      </w:r>
      <w:r>
        <w:t xml:space="preserve"> est un système d’information de nature quantitative et généralement exprimé en unité monétaire.</w:t>
      </w:r>
    </w:p>
    <w:p w14:paraId="62F54A9A" w14:textId="77777777" w:rsidR="005D07A6" w:rsidRDefault="00F42774">
      <w:pPr>
        <w:pStyle w:val="finfilet"/>
      </w:pPr>
      <w:r>
        <w:t>Fin Definition</w:t>
      </w:r>
    </w:p>
    <w:p w14:paraId="773BE536" w14:textId="77777777" w:rsidR="005D07A6" w:rsidRDefault="00F42774">
      <w:pPr>
        <w:pStyle w:val="CTEspDessous"/>
      </w:pPr>
      <w:r>
        <w:rPr>
          <w:i/>
          <w:iCs/>
        </w:rPr>
        <w:t>A priori</w:t>
      </w:r>
      <w:r>
        <w:t>, la comptabilité n’est pas nécessairement condamnée à se limiter aux valeurs monétaires mais exprimer les objets à additionner dans leur valeur monétaire permet d’agréger des objets de natures différentes. Par exemple, un berger peut compter les bêtes de son troupeau et établir qu’il possède 25 brebis, un bélier et 13 agneaux. Il possède également un champ et une bergerie en altitude. Mais comment faire pour appréhender ces différents objets de manière synthétique ? Par exemple, s’il perd accidentellement deux brebis, mais qu’il y a trois nouvelles naissances, s’est-il enrichi ou appauvri ? S’il additionne tous les éléments de son patrimoine dans une unité de compte commune, il pourra répondre à ces questions. Cette unité de compte, c’est presque toujours l’unité monétaire.</w:t>
      </w:r>
    </w:p>
    <w:p w14:paraId="4FD53EB4" w14:textId="77777777" w:rsidR="005D07A6" w:rsidRDefault="00F42774">
      <w:pPr>
        <w:pStyle w:val="CTEspDessous"/>
      </w:pPr>
      <w:r>
        <w:t>Il n’en demeure pas moins que l’avantage d’utiliser des valeurs monétaires (agréger des objets de natures différentes) est également une limite : il sera toujours possible de critiquer la comptabilité en avançant l’argument de son incapacité à valoriser correctement les objets étudiés, ou son incapacité à tenir compte des éléments non évaluables. Par exemple, si le prix de la viande de mouton chute à la suite d’une épidémie, faut-il pour autant considérer que la valeur du troupeau diminue, alors que le nombre de bêtes est resté inchangé et que ces bêtes génèrent les mêmes coûts d’élevage ? Comment valoriser monétairement le savoir-faire du berger ?</w:t>
      </w:r>
    </w:p>
    <w:p w14:paraId="42D3636C" w14:textId="77777777" w:rsidR="005D07A6" w:rsidRDefault="00F42774">
      <w:pPr>
        <w:pStyle w:val="CTEspDessous"/>
      </w:pPr>
      <w:r>
        <w:t xml:space="preserve">Le terme « gestion » dans l’expression « comptabilité de gestion » est une traduction du mot anglais </w:t>
      </w:r>
      <w:r>
        <w:rPr>
          <w:i/>
          <w:iCs/>
        </w:rPr>
        <w:t>management</w:t>
      </w:r>
      <w:r>
        <w:t xml:space="preserve">. En anglais, on parlait de </w:t>
      </w:r>
      <w:r>
        <w:rPr>
          <w:i/>
          <w:iCs/>
        </w:rPr>
        <w:t>management accounting</w:t>
      </w:r>
      <w:r>
        <w:t xml:space="preserve"> quand en France on parlait de « comptabilité analytique ». Y a-t-il une différence entre le terme anglais </w:t>
      </w:r>
      <w:r>
        <w:rPr>
          <w:i/>
          <w:iCs/>
        </w:rPr>
        <w:t>management</w:t>
      </w:r>
      <w:r>
        <w:t xml:space="preserve"> et le terme français « gestion » ?</w:t>
      </w:r>
    </w:p>
    <w:p w14:paraId="4299EC84" w14:textId="77777777" w:rsidR="005D07A6" w:rsidRDefault="00F42774">
      <w:pPr>
        <w:pStyle w:val="debutfilet"/>
      </w:pPr>
      <w:r>
        <w:t>Definition</w:t>
      </w:r>
    </w:p>
    <w:p w14:paraId="26136C55" w14:textId="77777777" w:rsidR="005D07A6" w:rsidRDefault="00F42774">
      <w:pPr>
        <w:pStyle w:val="LibelleRubrique"/>
      </w:pPr>
      <w:r>
        <w:t>Définition</w:t>
      </w:r>
    </w:p>
    <w:p w14:paraId="522FAD54" w14:textId="77777777" w:rsidR="005D07A6" w:rsidRDefault="00F42774">
      <w:pPr>
        <w:pStyle w:val="CT"/>
      </w:pPr>
      <w:r>
        <w:t xml:space="preserve">La </w:t>
      </w:r>
      <w:r>
        <w:rPr>
          <w:b/>
          <w:bCs/>
          <w:i/>
          <w:iCs/>
          <w:color w:val="FF0000"/>
        </w:rPr>
        <w:t>gestion</w:t>
      </w:r>
      <w:r>
        <w:rPr>
          <w:highlight w:val="green"/>
        </w:rPr>
        <w:fldChar w:fldCharType="begin"/>
      </w:r>
      <w:r>
        <w:rPr>
          <w:highlight w:val="green"/>
        </w:rPr>
        <w:instrText xml:space="preserve"> XE "</w:instrText>
      </w:r>
      <w:r>
        <w:rPr>
          <w:noProof/>
          <w:highlight w:val="green"/>
        </w:rPr>
        <w:instrText>Gestion</w:instrText>
      </w:r>
      <w:r>
        <w:rPr>
          <w:highlight w:val="green"/>
        </w:rPr>
        <w:instrText xml:space="preserve">" </w:instrText>
      </w:r>
      <w:r>
        <w:rPr>
          <w:highlight w:val="green"/>
        </w:rPr>
        <w:fldChar w:fldCharType="end"/>
      </w:r>
      <w:r>
        <w:t xml:space="preserve"> est la manière de mener une ou des actions en vue d’atteindre un objectif. (O. Vidal)</w:t>
      </w:r>
    </w:p>
    <w:p w14:paraId="0A194F0E" w14:textId="77777777" w:rsidR="005D07A6" w:rsidRDefault="00F42774">
      <w:pPr>
        <w:pStyle w:val="finfilet"/>
      </w:pPr>
      <w:r>
        <w:t>Fin Definition</w:t>
      </w:r>
    </w:p>
    <w:p w14:paraId="07FA6FE8" w14:textId="77777777" w:rsidR="005D07A6" w:rsidRDefault="00F42774">
      <w:pPr>
        <w:pStyle w:val="CTEspDessous"/>
      </w:pPr>
      <w:r>
        <w:rPr>
          <w:b/>
          <w:bCs/>
        </w:rPr>
        <w:lastRenderedPageBreak/>
        <w:t>Gérer</w:t>
      </w:r>
      <w:r>
        <w:t xml:space="preserve">, c’est prendre des décisions dans le but </w:t>
      </w:r>
      <w:r>
        <w:rPr>
          <w:b/>
          <w:bCs/>
        </w:rPr>
        <w:t>d’atteindre un objectif</w:t>
      </w:r>
      <w:r>
        <w:t xml:space="preserve">, </w:t>
      </w:r>
      <w:r>
        <w:rPr>
          <w:b/>
          <w:bCs/>
        </w:rPr>
        <w:t>en utilisant au mieux les ressources</w:t>
      </w:r>
      <w:r>
        <w:t xml:space="preserve"> disponibles. On peut dire que la </w:t>
      </w:r>
      <w:r>
        <w:rPr>
          <w:b/>
          <w:bCs/>
        </w:rPr>
        <w:t>gestion</w:t>
      </w:r>
      <w:r>
        <w:t xml:space="preserve"> , c’est « l’action efficace ».</w:t>
      </w:r>
    </w:p>
    <w:p w14:paraId="2DA3C404" w14:textId="77777777" w:rsidR="005D07A6" w:rsidRDefault="00F42774">
      <w:pPr>
        <w:pStyle w:val="debutfilet"/>
      </w:pPr>
      <w:r>
        <w:t>Exemple</w:t>
      </w:r>
    </w:p>
    <w:p w14:paraId="7EA391C9" w14:textId="77777777" w:rsidR="005D07A6" w:rsidRDefault="00F42774">
      <w:pPr>
        <w:pStyle w:val="LibelleRubrique"/>
      </w:pPr>
      <w:r>
        <w:t>Exemples</w:t>
      </w:r>
    </w:p>
    <w:p w14:paraId="641CBF08" w14:textId="77777777" w:rsidR="005D07A6" w:rsidRDefault="00F42774">
      <w:pPr>
        <w:pStyle w:val="ET"/>
      </w:pPr>
      <w:r>
        <w:t>Une personne « gère » son capital santé en choisissant une nourriture appropriée et en évitant le tabac et l’alcool.</w:t>
      </w:r>
    </w:p>
    <w:p w14:paraId="3DD98F37" w14:textId="77777777" w:rsidR="005D07A6" w:rsidRDefault="00F42774">
      <w:pPr>
        <w:pStyle w:val="ET"/>
      </w:pPr>
      <w:r>
        <w:t>Un épargnant « gère » ses économies en choisissant les meilleurs placements.</w:t>
      </w:r>
    </w:p>
    <w:p w14:paraId="5E580DBD" w14:textId="77777777" w:rsidR="005D07A6" w:rsidRDefault="00F42774">
      <w:pPr>
        <w:pStyle w:val="ET"/>
      </w:pPr>
      <w:r>
        <w:t>Un chef d’entreprise « gère » son entreprise en prenant de bonnes décisions stratégiques pour assurer la pérennité et la rentabilité de son affaire.</w:t>
      </w:r>
    </w:p>
    <w:p w14:paraId="731406EA" w14:textId="77777777" w:rsidR="005D07A6" w:rsidRDefault="00F42774">
      <w:pPr>
        <w:pStyle w:val="ET"/>
      </w:pPr>
      <w:r>
        <w:t>Une publicité dans le métro parisien assurait qu’un étudiant avait « trop géré » son devoir de maths grâce à des cours particuliers.</w:t>
      </w:r>
    </w:p>
    <w:p w14:paraId="625A377E" w14:textId="77777777" w:rsidR="005D07A6" w:rsidRDefault="00F42774">
      <w:pPr>
        <w:pStyle w:val="ET"/>
      </w:pPr>
      <w:r>
        <w:t>La gestion du temps, c’est organiser des actions de telle manière que leur réalisation minimise le temps disponible.</w:t>
      </w:r>
    </w:p>
    <w:p w14:paraId="3A0FB99C" w14:textId="77777777" w:rsidR="005D07A6" w:rsidRDefault="00F42774">
      <w:pPr>
        <w:pStyle w:val="finfilet"/>
      </w:pPr>
      <w:r>
        <w:t>Fin Exemple</w:t>
      </w:r>
    </w:p>
    <w:p w14:paraId="0850718A" w14:textId="77777777" w:rsidR="005D07A6" w:rsidRDefault="00F42774">
      <w:pPr>
        <w:pStyle w:val="debutfilet"/>
      </w:pPr>
      <w:r>
        <w:t>Remarque</w:t>
      </w:r>
    </w:p>
    <w:p w14:paraId="112062C6" w14:textId="77777777" w:rsidR="005D07A6" w:rsidRDefault="00F42774">
      <w:pPr>
        <w:pStyle w:val="LibelleRubrique"/>
      </w:pPr>
      <w:r>
        <w:t>Remarque</w:t>
      </w:r>
    </w:p>
    <w:p w14:paraId="2279FCC8" w14:textId="77777777" w:rsidR="005D07A6" w:rsidRDefault="00F42774">
      <w:pPr>
        <w:pStyle w:val="CT"/>
      </w:pPr>
      <w:r>
        <w:rPr>
          <w:b/>
          <w:bCs/>
        </w:rPr>
        <w:t>Gestion et sciences de gestion :</w:t>
      </w:r>
      <w:r>
        <w:t xml:space="preserve"> il ne faut pas confondre gestion et sciences de gestion. Si la gestion, c’est l’action efficace, les sciences de gestion</w:t>
      </w:r>
      <w:r>
        <w:rPr>
          <w:highlight w:val="green"/>
        </w:rPr>
        <w:fldChar w:fldCharType="begin"/>
      </w:r>
      <w:r>
        <w:rPr>
          <w:highlight w:val="green"/>
        </w:rPr>
        <w:instrText xml:space="preserve"> XE "</w:instrText>
      </w:r>
      <w:r>
        <w:rPr>
          <w:noProof/>
          <w:highlight w:val="green"/>
        </w:rPr>
        <w:instrText>Sciences de gestion</w:instrText>
      </w:r>
      <w:r>
        <w:rPr>
          <w:highlight w:val="green"/>
        </w:rPr>
        <w:instrText xml:space="preserve">" </w:instrText>
      </w:r>
      <w:r>
        <w:rPr>
          <w:highlight w:val="green"/>
        </w:rPr>
        <w:fldChar w:fldCharType="end"/>
      </w:r>
      <w:r>
        <w:t xml:space="preserve"> sont les disciplines qui étudient la prise de décision dans les organisations. La gestion, au même titre qu’un caillou, n’est pas une science. Mais il n’en demeure pas moins que l’étude de la gestion, au même titre que l’étude des pierres et des roches (la géologie) peut être une discipline scientifique. Il n’existe pas de terme (gestionomie, gestiologie, etc. ?) pour définir cette démarche d’étude scientifique.</w:t>
      </w:r>
    </w:p>
    <w:p w14:paraId="3CE336A2" w14:textId="77777777" w:rsidR="005D07A6" w:rsidRDefault="00F42774">
      <w:pPr>
        <w:pStyle w:val="finfilet"/>
      </w:pPr>
      <w:r>
        <w:t>Fin Remarque</w:t>
      </w:r>
    </w:p>
    <w:p w14:paraId="73B3C49B" w14:textId="77777777" w:rsidR="005D07A6" w:rsidRDefault="00F42774">
      <w:pPr>
        <w:pStyle w:val="debutfilet"/>
      </w:pPr>
      <w:r>
        <w:t>Definition</w:t>
      </w:r>
    </w:p>
    <w:p w14:paraId="528A73C1" w14:textId="77777777" w:rsidR="005D07A6" w:rsidRDefault="00F42774">
      <w:pPr>
        <w:pStyle w:val="LibelleRubrique"/>
      </w:pPr>
      <w:r>
        <w:t>Définition</w:t>
      </w:r>
    </w:p>
    <w:p w14:paraId="2487A049" w14:textId="77777777" w:rsidR="005D07A6" w:rsidRDefault="00F42774">
      <w:pPr>
        <w:pStyle w:val="CT"/>
      </w:pPr>
      <w:r>
        <w:t xml:space="preserve">Le </w:t>
      </w:r>
      <w:r>
        <w:rPr>
          <w:b/>
          <w:bCs/>
          <w:i/>
          <w:iCs/>
          <w:color w:val="FF0000"/>
        </w:rPr>
        <w:t>management</w:t>
      </w:r>
      <w:r>
        <w:rPr>
          <w:highlight w:val="green"/>
        </w:rPr>
        <w:fldChar w:fldCharType="begin"/>
      </w:r>
      <w:r>
        <w:rPr>
          <w:highlight w:val="green"/>
        </w:rPr>
        <w:instrText xml:space="preserve"> XE "</w:instrText>
      </w:r>
      <w:r>
        <w:rPr>
          <w:noProof/>
          <w:highlight w:val="green"/>
        </w:rPr>
        <w:instrText>Management</w:instrText>
      </w:r>
      <w:r>
        <w:rPr>
          <w:highlight w:val="green"/>
        </w:rPr>
        <w:instrText xml:space="preserve">" </w:instrText>
      </w:r>
      <w:r>
        <w:rPr>
          <w:highlight w:val="green"/>
        </w:rPr>
        <w:fldChar w:fldCharType="end"/>
      </w:r>
      <w:r>
        <w:t xml:space="preserve"> est défini (par </w:t>
      </w:r>
      <w:r>
        <w:rPr>
          <w:b/>
          <w:bCs/>
        </w:rPr>
        <w:t>R.</w:t>
      </w:r>
      <w:r>
        <w:t xml:space="preserve"> </w:t>
      </w:r>
      <w:r>
        <w:rPr>
          <w:b/>
          <w:bCs/>
        </w:rPr>
        <w:t>Anthony</w:t>
      </w:r>
      <w:r>
        <w:rPr>
          <w:highlight w:val="green"/>
        </w:rPr>
        <w:fldChar w:fldCharType="begin"/>
      </w:r>
      <w:r>
        <w:rPr>
          <w:highlight w:val="green"/>
        </w:rPr>
        <w:instrText xml:space="preserve"> XE "</w:instrText>
      </w:r>
      <w:r>
        <w:rPr>
          <w:noProof/>
          <w:highlight w:val="green"/>
        </w:rPr>
        <w:instrText>Anthony</w:instrText>
      </w:r>
      <w:r>
        <w:rPr>
          <w:highlight w:val="green"/>
        </w:rPr>
        <w:instrText xml:space="preserve">" </w:instrText>
      </w:r>
      <w:r>
        <w:rPr>
          <w:highlight w:val="green"/>
        </w:rPr>
        <w:fldChar w:fldCharType="end"/>
      </w:r>
      <w:r>
        <w:t xml:space="preserve">) comme la démarche qui vise à </w:t>
      </w:r>
      <w:r>
        <w:rPr>
          <w:b/>
          <w:bCs/>
        </w:rPr>
        <w:t>atteindre des objectifs par l’intermédiaire d’autres personnes</w:t>
      </w:r>
      <w:r>
        <w:t xml:space="preserve"> (en général des subordonnés).</w:t>
      </w:r>
    </w:p>
    <w:p w14:paraId="021CDCF3" w14:textId="77777777" w:rsidR="005D07A6" w:rsidRDefault="00F42774">
      <w:pPr>
        <w:pStyle w:val="finfilet"/>
      </w:pPr>
      <w:r>
        <w:t>Fin Definition</w:t>
      </w:r>
    </w:p>
    <w:p w14:paraId="2855143F" w14:textId="77777777" w:rsidR="005D07A6" w:rsidRDefault="00F42774">
      <w:pPr>
        <w:pStyle w:val="CTEspDessous"/>
      </w:pPr>
      <w:r>
        <w:t xml:space="preserve">La traduction n’est donc pas parfaite. Le </w:t>
      </w:r>
      <w:r>
        <w:rPr>
          <w:i/>
          <w:iCs/>
        </w:rPr>
        <w:t>management</w:t>
      </w:r>
      <w:r>
        <w:t xml:space="preserve"> devrait se traduire en français par « pilotage » ou « direction ». Le « manager » est le « dirigeant », celui qui encadre une équipe.</w:t>
      </w:r>
    </w:p>
    <w:p w14:paraId="62F670AE" w14:textId="77777777" w:rsidR="005D07A6" w:rsidRDefault="00F42774">
      <w:pPr>
        <w:pStyle w:val="CTEspDessous"/>
      </w:pPr>
      <w:r>
        <w:t xml:space="preserve">Pour revenir à la définition de la comptabilité de gestion, il faut retenir que par </w:t>
      </w:r>
      <w:r>
        <w:rPr>
          <w:b/>
          <w:bCs/>
        </w:rPr>
        <w:t>comptabilité</w:t>
      </w:r>
      <w:r>
        <w:rPr>
          <w:highlight w:val="green"/>
        </w:rPr>
        <w:fldChar w:fldCharType="begin"/>
      </w:r>
      <w:r>
        <w:rPr>
          <w:highlight w:val="green"/>
        </w:rPr>
        <w:instrText xml:space="preserve"> XE "</w:instrText>
      </w:r>
      <w:r>
        <w:rPr>
          <w:noProof/>
          <w:highlight w:val="green"/>
        </w:rPr>
        <w:instrText>Comptabilité</w:instrText>
      </w:r>
      <w:r>
        <w:rPr>
          <w:highlight w:val="green"/>
        </w:rPr>
        <w:instrText xml:space="preserve">" </w:instrText>
      </w:r>
      <w:r>
        <w:rPr>
          <w:highlight w:val="green"/>
        </w:rPr>
        <w:fldChar w:fldCharType="end"/>
      </w:r>
      <w:r>
        <w:t xml:space="preserve"> on entend un ensemble d’informations essentiellement quantitatives (exprimées en euros), aidant le dirigeant (qui cherche à atteindre des objectifs par l’intermédiaire de subordonnés) à prendre des décisions.</w:t>
      </w:r>
    </w:p>
    <w:p w14:paraId="234DB21B" w14:textId="77777777" w:rsidR="005D07A6" w:rsidRDefault="00F42774">
      <w:pPr>
        <w:pStyle w:val="CTEspDessous"/>
      </w:pPr>
      <w:r>
        <w:t xml:space="preserve">Cette définition très large laisse entendre que, en fonction des besoins de la gestion, il est possible de calculer des coûts obéissant à des logiques différentes. Le choix d’un modèle de calcul est lié à l’organisation et aux objectifs du décideur, à savoir le type d’information qu’il entend privilégier. Cette </w:t>
      </w:r>
      <w:r>
        <w:rPr>
          <w:b/>
          <w:bCs/>
        </w:rPr>
        <w:t>contingence</w:t>
      </w:r>
      <w:r>
        <w:rPr>
          <w:highlight w:val="green"/>
        </w:rPr>
        <w:fldChar w:fldCharType="begin"/>
      </w:r>
      <w:r>
        <w:rPr>
          <w:highlight w:val="green"/>
        </w:rPr>
        <w:instrText xml:space="preserve"> XE "</w:instrText>
      </w:r>
      <w:r>
        <w:rPr>
          <w:noProof/>
          <w:highlight w:val="green"/>
        </w:rPr>
        <w:instrText>Contingence</w:instrText>
      </w:r>
      <w:r>
        <w:rPr>
          <w:highlight w:val="green"/>
        </w:rPr>
        <w:instrText xml:space="preserve">" </w:instrText>
      </w:r>
      <w:r>
        <w:rPr>
          <w:highlight w:val="green"/>
        </w:rPr>
        <w:fldChar w:fldCharType="end"/>
      </w:r>
      <w:r>
        <w:t xml:space="preserve"> fait que la comptabilité de gestion ne peut être normée, d’où l’exclusion du volet analytique dans le plan comptable actuel (depuis 1999). Toutefois, il est possible de retenir qu’un </w:t>
      </w:r>
      <w:r>
        <w:rPr>
          <w:b/>
          <w:bCs/>
        </w:rPr>
        <w:t>coût</w:t>
      </w:r>
      <w:r>
        <w:t xml:space="preserve"> </w:t>
      </w:r>
      <w:r>
        <w:rPr>
          <w:highlight w:val="green"/>
        </w:rPr>
        <w:fldChar w:fldCharType="begin"/>
      </w:r>
      <w:r>
        <w:rPr>
          <w:highlight w:val="green"/>
        </w:rPr>
        <w:instrText xml:space="preserve"> XE "</w:instrText>
      </w:r>
      <w:r>
        <w:rPr>
          <w:noProof/>
          <w:highlight w:val="green"/>
        </w:rPr>
        <w:instrText>Coût</w:instrText>
      </w:r>
      <w:r>
        <w:rPr>
          <w:highlight w:val="green"/>
        </w:rPr>
        <w:instrText xml:space="preserve">" </w:instrText>
      </w:r>
      <w:r>
        <w:rPr>
          <w:highlight w:val="green"/>
        </w:rPr>
        <w:fldChar w:fldCharType="end"/>
      </w:r>
      <w:r>
        <w:t>est « la somme des charges relatives à un élément défini au sein du réseau comptable » (PCG 1982).</w:t>
      </w:r>
    </w:p>
    <w:p w14:paraId="76B6890D" w14:textId="77777777" w:rsidR="005D07A6" w:rsidRDefault="00F42774">
      <w:pPr>
        <w:pStyle w:val="CTEspDessous"/>
      </w:pPr>
      <w:r>
        <w:t xml:space="preserve">Le choix d’un coût repose sur </w:t>
      </w:r>
      <w:r>
        <w:rPr>
          <w:b/>
          <w:bCs/>
        </w:rPr>
        <w:t>sa pertinence</w:t>
      </w:r>
      <w:r>
        <w:rPr>
          <w:highlight w:val="green"/>
        </w:rPr>
        <w:fldChar w:fldCharType="begin"/>
      </w:r>
      <w:r>
        <w:rPr>
          <w:highlight w:val="green"/>
        </w:rPr>
        <w:instrText xml:space="preserve"> XE "</w:instrText>
      </w:r>
      <w:r>
        <w:rPr>
          <w:noProof/>
          <w:highlight w:val="green"/>
        </w:rPr>
        <w:instrText>Pertinence</w:instrText>
      </w:r>
      <w:r>
        <w:rPr>
          <w:highlight w:val="green"/>
        </w:rPr>
        <w:instrText xml:space="preserve">" </w:instrText>
      </w:r>
      <w:r>
        <w:rPr>
          <w:highlight w:val="green"/>
        </w:rPr>
        <w:fldChar w:fldCharType="end"/>
      </w:r>
      <w:r>
        <w:t>, c’est-à-dire sa capacité à répondre à un besoin particulier d’information. La pertinence ou l’adéquation avec les problèmes de gestion à résoudre est contingente à l’organisation, aux objectifs et besoins du décideur.</w:t>
      </w:r>
    </w:p>
    <w:p w14:paraId="53B4B05B" w14:textId="77777777" w:rsidR="005D07A6" w:rsidRDefault="00F42774">
      <w:pPr>
        <w:pStyle w:val="T3"/>
      </w:pPr>
      <w:r>
        <w:t>section 2.</w:t>
      </w:r>
      <w:r>
        <w:tab/>
        <w:t>Les objectifs de la comptabilité de gestion</w:t>
      </w:r>
    </w:p>
    <w:p w14:paraId="55DE7DFB" w14:textId="77777777" w:rsidR="005D07A6" w:rsidRDefault="00F42774">
      <w:pPr>
        <w:pStyle w:val="T4"/>
      </w:pPr>
      <w:r>
        <w:lastRenderedPageBreak/>
        <w:t>I.</w:t>
      </w:r>
      <w:r>
        <w:tab/>
        <w:t>L’analyse des coûts et des résultats</w:t>
      </w:r>
    </w:p>
    <w:p w14:paraId="5393E7BD" w14:textId="77777777" w:rsidR="005D07A6" w:rsidRDefault="00F42774">
      <w:pPr>
        <w:pStyle w:val="CT"/>
      </w:pPr>
      <w:r>
        <w:t>Dans le cas d’une petite entreprise dont l’activité est simple (un petit commerce de détail par exemple), la comptabilité financière suffit généralement pour les besoins de la gestion. Il suffit d’enregistrer les opérations avec les tiers (les achats aux fournisseurs et les ventes aux clients), sans se préoccuper du fonctionnement interne. Pour la comptabilité financière, qui ne saisit essentiellement que les transactions avec l’extérieur, l’entreprise est presque une « boîte noire » : on saisit les entrées et les sorties, sans regarder à l’intérieur.</w:t>
      </w:r>
    </w:p>
    <w:p w14:paraId="6C2E2A87" w14:textId="77777777" w:rsidR="005D07A6" w:rsidRDefault="00F42774">
      <w:pPr>
        <w:pStyle w:val="CT"/>
      </w:pPr>
      <w:r>
        <w:t>En revanche, dans un cas plus complexe, comme celui d’une grande entreprise industrielle, la comptabilité financière devient insuffisante, pour deux raisons :</w:t>
      </w:r>
    </w:p>
    <w:p w14:paraId="42227A53" w14:textId="77777777" w:rsidR="005D07A6" w:rsidRDefault="00F42774">
      <w:pPr>
        <w:pStyle w:val="ET"/>
      </w:pPr>
      <w:r>
        <w:t>l’organisation interne est plus complexe, avec par exemple plusieurs ateliers, plusieurs succursales, de nombreux services : il faut pouvoir apprécier les performances de ces différentes composantes ;</w:t>
      </w:r>
    </w:p>
    <w:p w14:paraId="3FBB909A" w14:textId="77777777" w:rsidR="005D07A6" w:rsidRDefault="00F42774">
      <w:pPr>
        <w:pStyle w:val="ET"/>
      </w:pPr>
      <w:r>
        <w:t>l’activité est plus diversifiée : on fabrique par exemple plusieurs types de produits.</w:t>
      </w:r>
    </w:p>
    <w:p w14:paraId="19A7449B" w14:textId="77777777" w:rsidR="005D07A6" w:rsidRDefault="00F42774">
      <w:pPr>
        <w:pStyle w:val="CTEspDessous"/>
      </w:pPr>
      <w:r>
        <w:t>Il faut alors une analyse plus complète de ce qui se passe à l’intérieur de l’entreprise. Par exemple, dans une entreprise fabriquant deux produits, il faut évaluer les « coûts de revient » (ce que coûtent ces produits), pour pouvoir évaluer le résultat « analytique » réalisé sur chaque produit :</w:t>
      </w:r>
    </w:p>
    <w:tbl>
      <w:tblPr>
        <w:tblW w:w="6861" w:type="dxa"/>
        <w:tblInd w:w="1701" w:type="dxa"/>
        <w:tblLook w:val="04A0" w:firstRow="1" w:lastRow="0" w:firstColumn="1" w:lastColumn="0" w:noHBand="0" w:noVBand="1"/>
      </w:tblPr>
      <w:tblGrid>
        <w:gridCol w:w="2061"/>
        <w:gridCol w:w="1600"/>
        <w:gridCol w:w="1600"/>
        <w:gridCol w:w="1600"/>
      </w:tblGrid>
      <w:tr w:rsidR="005D07A6" w14:paraId="32878C93" w14:textId="77777777">
        <w:tc>
          <w:tcPr>
            <w:tcW w:w="154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0FFADEC" w14:textId="77777777" w:rsidR="005D07A6" w:rsidRDefault="00F42774">
            <w:pPr>
              <w:pStyle w:val="TA1"/>
              <w:jc w:val="center"/>
              <w:rPr>
                <w:rFonts w:eastAsiaTheme="minorEastAsia"/>
              </w:rPr>
            </w:pPr>
            <w:r>
              <w:rPr>
                <w:b/>
                <w:bCs/>
              </w:rPr>
              <w:t>Éléments d’analyse</w:t>
            </w:r>
          </w:p>
        </w:tc>
        <w:tc>
          <w:tcPr>
            <w:tcW w:w="120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BC018BE" w14:textId="77777777" w:rsidR="005D07A6" w:rsidRDefault="00F42774">
            <w:pPr>
              <w:pStyle w:val="TA1"/>
              <w:jc w:val="center"/>
              <w:rPr>
                <w:rFonts w:eastAsiaTheme="minorEastAsia"/>
              </w:rPr>
            </w:pPr>
            <w:r>
              <w:rPr>
                <w:b/>
                <w:bCs/>
              </w:rPr>
              <w:t>Produit A</w:t>
            </w:r>
          </w:p>
        </w:tc>
        <w:tc>
          <w:tcPr>
            <w:tcW w:w="120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381FAFB" w14:textId="77777777" w:rsidR="005D07A6" w:rsidRDefault="00F42774">
            <w:pPr>
              <w:pStyle w:val="TA1"/>
              <w:jc w:val="center"/>
              <w:rPr>
                <w:rFonts w:eastAsiaTheme="minorEastAsia"/>
              </w:rPr>
            </w:pPr>
            <w:r>
              <w:rPr>
                <w:b/>
                <w:bCs/>
              </w:rPr>
              <w:t>Produit B</w:t>
            </w:r>
          </w:p>
        </w:tc>
        <w:tc>
          <w:tcPr>
            <w:tcW w:w="120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C862D60" w14:textId="77777777" w:rsidR="005D07A6" w:rsidRDefault="00F42774">
            <w:pPr>
              <w:pStyle w:val="TA1"/>
              <w:jc w:val="center"/>
              <w:rPr>
                <w:rFonts w:eastAsiaTheme="minorEastAsia"/>
              </w:rPr>
            </w:pPr>
            <w:r>
              <w:rPr>
                <w:b/>
                <w:bCs/>
              </w:rPr>
              <w:t>Total</w:t>
            </w:r>
          </w:p>
        </w:tc>
      </w:tr>
      <w:tr w:rsidR="005D07A6" w14:paraId="6F7A10D6" w14:textId="77777777">
        <w:tc>
          <w:tcPr>
            <w:tcW w:w="15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528AEEF" w14:textId="77777777" w:rsidR="005D07A6" w:rsidRDefault="00F42774">
            <w:pPr>
              <w:pStyle w:val="TA1"/>
              <w:rPr>
                <w:rFonts w:eastAsiaTheme="minorEastAsia"/>
              </w:rPr>
            </w:pPr>
            <w:r>
              <w:t>Ventes</w:t>
            </w:r>
          </w:p>
        </w:tc>
        <w:tc>
          <w:tcPr>
            <w:tcW w:w="12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4CBBDE5" w14:textId="77777777" w:rsidR="005D07A6" w:rsidRDefault="00F42774">
            <w:pPr>
              <w:pStyle w:val="TA1"/>
              <w:jc w:val="center"/>
              <w:rPr>
                <w:rFonts w:eastAsiaTheme="minorEastAsia"/>
              </w:rPr>
            </w:pPr>
            <w:r>
              <w:t>20 000</w:t>
            </w:r>
          </w:p>
        </w:tc>
        <w:tc>
          <w:tcPr>
            <w:tcW w:w="12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740E770" w14:textId="77777777" w:rsidR="005D07A6" w:rsidRDefault="00F42774">
            <w:pPr>
              <w:pStyle w:val="TA1"/>
              <w:jc w:val="center"/>
              <w:rPr>
                <w:rFonts w:eastAsiaTheme="minorEastAsia"/>
              </w:rPr>
            </w:pPr>
            <w:r>
              <w:t>30 000</w:t>
            </w:r>
          </w:p>
        </w:tc>
        <w:tc>
          <w:tcPr>
            <w:tcW w:w="12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FFB8714" w14:textId="77777777" w:rsidR="005D07A6" w:rsidRDefault="00F42774">
            <w:pPr>
              <w:pStyle w:val="TA1"/>
              <w:jc w:val="center"/>
              <w:rPr>
                <w:rFonts w:eastAsiaTheme="minorEastAsia"/>
              </w:rPr>
            </w:pPr>
            <w:r>
              <w:t>50 000</w:t>
            </w:r>
          </w:p>
        </w:tc>
      </w:tr>
      <w:tr w:rsidR="005D07A6" w14:paraId="53D84D59" w14:textId="77777777">
        <w:tc>
          <w:tcPr>
            <w:tcW w:w="15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8E4C446" w14:textId="77777777" w:rsidR="005D07A6" w:rsidRDefault="00F42774">
            <w:pPr>
              <w:pStyle w:val="TA1"/>
              <w:rPr>
                <w:rFonts w:eastAsiaTheme="minorEastAsia"/>
              </w:rPr>
            </w:pPr>
            <w:r>
              <w:t>Coûts de revient</w:t>
            </w:r>
          </w:p>
        </w:tc>
        <w:tc>
          <w:tcPr>
            <w:tcW w:w="12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B4A85E0" w14:textId="77777777" w:rsidR="005D07A6" w:rsidRDefault="00F42774">
            <w:pPr>
              <w:pStyle w:val="TA1"/>
              <w:jc w:val="center"/>
              <w:rPr>
                <w:rFonts w:eastAsiaTheme="minorEastAsia"/>
              </w:rPr>
            </w:pPr>
            <w:r>
              <w:t>18 000</w:t>
            </w:r>
          </w:p>
        </w:tc>
        <w:tc>
          <w:tcPr>
            <w:tcW w:w="12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4FEB10D" w14:textId="77777777" w:rsidR="005D07A6" w:rsidRDefault="00F42774">
            <w:pPr>
              <w:pStyle w:val="TA1"/>
              <w:jc w:val="center"/>
              <w:rPr>
                <w:rFonts w:eastAsiaTheme="minorEastAsia"/>
              </w:rPr>
            </w:pPr>
            <w:r>
              <w:t>33 000</w:t>
            </w:r>
          </w:p>
        </w:tc>
        <w:tc>
          <w:tcPr>
            <w:tcW w:w="12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9DB0EEC" w14:textId="77777777" w:rsidR="005D07A6" w:rsidRDefault="00F42774">
            <w:pPr>
              <w:pStyle w:val="TA1"/>
              <w:jc w:val="center"/>
              <w:rPr>
                <w:rFonts w:eastAsiaTheme="minorEastAsia"/>
              </w:rPr>
            </w:pPr>
            <w:r>
              <w:t>51 000</w:t>
            </w:r>
          </w:p>
        </w:tc>
      </w:tr>
      <w:tr w:rsidR="005D07A6" w14:paraId="094AF161" w14:textId="77777777">
        <w:tc>
          <w:tcPr>
            <w:tcW w:w="15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C1C3277" w14:textId="77777777" w:rsidR="005D07A6" w:rsidRDefault="00F42774">
            <w:pPr>
              <w:pStyle w:val="TA1"/>
              <w:rPr>
                <w:rFonts w:eastAsiaTheme="minorEastAsia"/>
              </w:rPr>
            </w:pPr>
            <w:r>
              <w:t>Résultats</w:t>
            </w:r>
          </w:p>
        </w:tc>
        <w:tc>
          <w:tcPr>
            <w:tcW w:w="12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0C8BE9E" w14:textId="77777777" w:rsidR="005D07A6" w:rsidRDefault="00F42774">
            <w:pPr>
              <w:pStyle w:val="TA1"/>
              <w:jc w:val="center"/>
              <w:rPr>
                <w:rFonts w:eastAsiaTheme="minorEastAsia"/>
              </w:rPr>
            </w:pPr>
            <w:r>
              <w:t>+ 2 000</w:t>
            </w:r>
          </w:p>
        </w:tc>
        <w:tc>
          <w:tcPr>
            <w:tcW w:w="12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045A6DD" w14:textId="77777777" w:rsidR="005D07A6" w:rsidRDefault="00F42774">
            <w:pPr>
              <w:pStyle w:val="TA1"/>
              <w:jc w:val="center"/>
              <w:rPr>
                <w:rFonts w:eastAsiaTheme="minorEastAsia"/>
              </w:rPr>
            </w:pPr>
            <w:r>
              <w:t>– 3 000</w:t>
            </w:r>
          </w:p>
        </w:tc>
        <w:tc>
          <w:tcPr>
            <w:tcW w:w="12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B1F429A" w14:textId="77777777" w:rsidR="005D07A6" w:rsidRDefault="00F42774">
            <w:pPr>
              <w:pStyle w:val="TA1"/>
              <w:jc w:val="center"/>
              <w:rPr>
                <w:rFonts w:eastAsiaTheme="minorEastAsia"/>
              </w:rPr>
            </w:pPr>
            <w:r>
              <w:t>– 1 000</w:t>
            </w:r>
          </w:p>
        </w:tc>
      </w:tr>
    </w:tbl>
    <w:p w14:paraId="1B1ACB24" w14:textId="77777777" w:rsidR="005D07A6" w:rsidRDefault="00F42774">
      <w:pPr>
        <w:pStyle w:val="CTEspDessous"/>
        <w:rPr>
          <w:rFonts w:eastAsiaTheme="minorEastAsia"/>
        </w:rPr>
      </w:pPr>
      <w:r>
        <w:t>Le résultat global de (–) 1 000 (qui peut être déterminé par la comptabilité financière) apparaît comme la somme algébrique des résultats « analytiques » par produits, qui ne peuvent être déterminés que par la comptabilité de gestion.</w:t>
      </w:r>
    </w:p>
    <w:p w14:paraId="6DEFE0B1" w14:textId="77777777" w:rsidR="005D07A6" w:rsidRDefault="00F42774">
      <w:pPr>
        <w:pStyle w:val="T4"/>
      </w:pPr>
      <w:r>
        <w:t>II.</w:t>
      </w:r>
      <w:r>
        <w:tab/>
        <w:t>La valorisation des stocks</w:t>
      </w:r>
      <w:r>
        <w:rPr>
          <w:highlight w:val="green"/>
        </w:rPr>
        <w:fldChar w:fldCharType="begin"/>
      </w:r>
      <w:r>
        <w:rPr>
          <w:highlight w:val="green"/>
        </w:rPr>
        <w:instrText xml:space="preserve"> XE "</w:instrText>
      </w:r>
      <w:r>
        <w:rPr>
          <w:noProof/>
          <w:highlight w:val="green"/>
        </w:rPr>
        <w:instrText>Valorisation des stocks</w:instrText>
      </w:r>
      <w:r>
        <w:rPr>
          <w:highlight w:val="green"/>
        </w:rPr>
        <w:instrText xml:space="preserve">" </w:instrText>
      </w:r>
      <w:r>
        <w:rPr>
          <w:highlight w:val="green"/>
        </w:rPr>
        <w:fldChar w:fldCharType="end"/>
      </w:r>
    </w:p>
    <w:p w14:paraId="268BE47B" w14:textId="77777777" w:rsidR="005D07A6" w:rsidRDefault="00F42774">
      <w:pPr>
        <w:pStyle w:val="CTEspDessous"/>
      </w:pPr>
      <w:r>
        <w:t>On oppose souvent comptabilité financière et comptabilité de gestion. En fait, cette opposition est surtout pédagogique.</w:t>
      </w:r>
    </w:p>
    <w:p w14:paraId="5FC91806" w14:textId="77777777" w:rsidR="005D07A6" w:rsidRDefault="00F42774">
      <w:pPr>
        <w:pStyle w:val="CTEspDessous"/>
      </w:pPr>
      <w:r>
        <w:t>On commence généralement l’apprentissage de la comptabilité par l’étude de la comptabilité financière, en se plaçant dans le cas le plus simple, celui d’une petite entreprise commerciale, et en « donnant » aux étudiants, dans les exercices, la valeur des stocks « par hypothèse ». On peut alors établir le bilan et le compte de résultat. Mais, dans la réalité, la valeur des stocks n’est pas une donnée : les matières sont évaluées au coût d’achat, et les produits finis au coût de production. C’est la comptabilité de gestion qui permet d’effectuer les calculs.</w:t>
      </w:r>
    </w:p>
    <w:p w14:paraId="40AB9A1D" w14:textId="77777777" w:rsidR="005D07A6" w:rsidRDefault="00F42774">
      <w:pPr>
        <w:pStyle w:val="T4"/>
      </w:pPr>
      <w:r>
        <w:t>III.</w:t>
      </w:r>
      <w:r>
        <w:tab/>
        <w:t>L’établissement des prévisions budgétaires</w:t>
      </w:r>
    </w:p>
    <w:p w14:paraId="12440EA6" w14:textId="77777777" w:rsidR="005D07A6" w:rsidRDefault="00F42774">
      <w:pPr>
        <w:pStyle w:val="CTEspDessous"/>
      </w:pPr>
      <w:r>
        <w:t>Pour établir les prévisions budgétaires, il faut disposer d’un modèle de l’exploitation, connaître les « fonctions de coûts ». Pour simplifier, disons que l’on fait un travail d’extrapolation : les charges fixes restent fixes, mais, en revanche, les charges variables vont évoluer en fonction du volume d’activité. Il faut donc connaître la structure des charges (charges fixes, charges variables), ce qui suppose un système de comptabilité de gestion en coûts partiels utilisant le critère de variabilité présenté plus loin.</w:t>
      </w:r>
    </w:p>
    <w:p w14:paraId="57F2AE0D" w14:textId="77777777" w:rsidR="005D07A6" w:rsidRDefault="00F42774">
      <w:pPr>
        <w:pStyle w:val="TexteRenvoiExo"/>
      </w:pPr>
      <w:r>
        <w:t>L’établissement des prévisions budgétaires sera développé dans le cours 3.</w:t>
      </w:r>
    </w:p>
    <w:p w14:paraId="140C07F6" w14:textId="77777777" w:rsidR="005D07A6" w:rsidRDefault="00F42774">
      <w:pPr>
        <w:pStyle w:val="T4"/>
      </w:pPr>
      <w:r>
        <w:t>IV.</w:t>
      </w:r>
      <w:r>
        <w:tab/>
        <w:t>L’aide à la confection des états de contrôle de gestion</w:t>
      </w:r>
    </w:p>
    <w:p w14:paraId="2C9A16AD" w14:textId="77777777" w:rsidR="005D07A6" w:rsidRDefault="00F42774">
      <w:pPr>
        <w:pStyle w:val="CTEspDessous"/>
      </w:pPr>
      <w:r>
        <w:t>Les informations analytiques, confrontées aux prévisions, permettent de calculer les écarts figurant, par exemple, dans les états de contrôle budgétaire et d’alimenter la « boucle de rétroaction » qui est au cœur du dispositif de régulation cybernétique auquel nous avons comparé le système de contrôle de gestion.</w:t>
      </w:r>
    </w:p>
    <w:p w14:paraId="2E64A811" w14:textId="77777777" w:rsidR="005D07A6" w:rsidRDefault="00F42774">
      <w:pPr>
        <w:pStyle w:val="T4"/>
      </w:pPr>
      <w:r>
        <w:lastRenderedPageBreak/>
        <w:t>V.</w:t>
      </w:r>
      <w:r>
        <w:tab/>
        <w:t>L’aide à la prise de décision</w:t>
      </w:r>
    </w:p>
    <w:p w14:paraId="66905703" w14:textId="77777777" w:rsidR="005D07A6" w:rsidRDefault="00F42774">
      <w:pPr>
        <w:pStyle w:val="CTEspDessous"/>
      </w:pPr>
      <w:r>
        <w:t>Pour une multitude de décisions, dont certaines peuvent avoir une importance stratégique majeure, il faut disposer d’informations analytiques sur les coûts. Par exemple, une entreprise qui envisage d’externaliser une fonction, par exemple de sous-traiter sa production, doit disposer d’informations analytiques sur la structure de ses coûts dans ses différents ateliers, pour pouvoir comparer avec le prix qu’on lui propose à l’extérieur.</w:t>
      </w:r>
    </w:p>
    <w:p w14:paraId="4A66E8D4" w14:textId="77777777" w:rsidR="005D07A6" w:rsidRDefault="00F42774">
      <w:pPr>
        <w:pStyle w:val="T3"/>
      </w:pPr>
      <w:r>
        <w:t>section 3.</w:t>
      </w:r>
      <w:r>
        <w:tab/>
        <w:t>La typologie des charges</w:t>
      </w:r>
    </w:p>
    <w:p w14:paraId="68FEE594" w14:textId="77777777" w:rsidR="005D07A6" w:rsidRDefault="00F42774">
      <w:pPr>
        <w:pStyle w:val="T4"/>
      </w:pPr>
      <w:r>
        <w:t>I.</w:t>
      </w:r>
      <w:r>
        <w:tab/>
        <w:t>Les charges</w:t>
      </w:r>
    </w:p>
    <w:p w14:paraId="15BA536F" w14:textId="77777777" w:rsidR="005D07A6" w:rsidRDefault="00F42774">
      <w:pPr>
        <w:pStyle w:val="debutfilet"/>
      </w:pPr>
      <w:r>
        <w:t>Definition</w:t>
      </w:r>
    </w:p>
    <w:p w14:paraId="281F75AF" w14:textId="77777777" w:rsidR="005D07A6" w:rsidRDefault="00F42774">
      <w:pPr>
        <w:pStyle w:val="LibelleRubrique"/>
      </w:pPr>
      <w:r>
        <w:t>Définition</w:t>
      </w:r>
    </w:p>
    <w:p w14:paraId="59F2826E" w14:textId="77777777" w:rsidR="005D07A6" w:rsidRDefault="00F42774">
      <w:pPr>
        <w:pStyle w:val="CT"/>
      </w:pPr>
      <w:r>
        <w:t xml:space="preserve">Une </w:t>
      </w:r>
      <w:r>
        <w:rPr>
          <w:b/>
          <w:bCs/>
          <w:i/>
          <w:iCs/>
          <w:color w:val="FF0000"/>
        </w:rPr>
        <w:t>charge</w:t>
      </w:r>
      <w:r>
        <w:rPr>
          <w:highlight w:val="green"/>
        </w:rPr>
        <w:fldChar w:fldCharType="begin"/>
      </w:r>
      <w:r>
        <w:rPr>
          <w:highlight w:val="green"/>
        </w:rPr>
        <w:instrText xml:space="preserve"> XE "</w:instrText>
      </w:r>
      <w:r>
        <w:rPr>
          <w:noProof/>
          <w:highlight w:val="green"/>
        </w:rPr>
        <w:instrText>Charge</w:instrText>
      </w:r>
      <w:r>
        <w:rPr>
          <w:highlight w:val="green"/>
        </w:rPr>
        <w:instrText xml:space="preserve">" </w:instrText>
      </w:r>
      <w:r>
        <w:rPr>
          <w:highlight w:val="green"/>
        </w:rPr>
        <w:fldChar w:fldCharType="end"/>
      </w:r>
      <w:r>
        <w:t xml:space="preserve"> est une consommation de ressources. C’est une diminution de la valeur du patrimoine de l’entreprise (et donc de son résultat).</w:t>
      </w:r>
    </w:p>
    <w:p w14:paraId="47829738" w14:textId="77777777" w:rsidR="005D07A6" w:rsidRDefault="00F42774">
      <w:pPr>
        <w:pStyle w:val="finfilet"/>
      </w:pPr>
      <w:r>
        <w:t>Fin Definition</w:t>
      </w:r>
    </w:p>
    <w:p w14:paraId="77F01057" w14:textId="77777777" w:rsidR="005D07A6" w:rsidRDefault="00F42774">
      <w:pPr>
        <w:pStyle w:val="CTEspDessous"/>
      </w:pPr>
      <w:r>
        <w:t>Une charge n’est pas nécessairement une dépense. En comptabilité, on enregistre en charge, donc en diminution du résultat, des événements qui n’ont parfois pas encore été décaissés (provision, achat payé à crédit, etc.). Et certaines opérations peuvent n’être enregistrées en charge qu’après avoir donné lieu à un décaissement (par exemple, les amortissements).</w:t>
      </w:r>
    </w:p>
    <w:p w14:paraId="4FAFC102" w14:textId="77777777" w:rsidR="005D07A6" w:rsidRDefault="00F42774">
      <w:pPr>
        <w:pStyle w:val="CTEspDessous"/>
      </w:pPr>
      <w:r>
        <w:t>Si une charge est tout ce qui diminue</w:t>
      </w:r>
      <w:r>
        <w:rPr>
          <w:b/>
          <w:bCs/>
        </w:rPr>
        <w:t xml:space="preserve"> le résultat comptable</w:t>
      </w:r>
      <w:r>
        <w:rPr>
          <w:highlight w:val="green"/>
        </w:rPr>
        <w:fldChar w:fldCharType="begin"/>
      </w:r>
      <w:r>
        <w:rPr>
          <w:highlight w:val="green"/>
        </w:rPr>
        <w:instrText xml:space="preserve"> XE "</w:instrText>
      </w:r>
      <w:r>
        <w:rPr>
          <w:noProof/>
          <w:highlight w:val="green"/>
        </w:rPr>
        <w:instrText>Résultat</w:instrText>
      </w:r>
      <w:r>
        <w:rPr>
          <w:highlight w:val="green"/>
        </w:rPr>
        <w:instrText>:</w:instrText>
      </w:r>
      <w:r>
        <w:rPr>
          <w:noProof/>
          <w:highlight w:val="green"/>
        </w:rPr>
        <w:instrText>– comptable</w:instrText>
      </w:r>
      <w:r>
        <w:rPr>
          <w:highlight w:val="green"/>
        </w:rPr>
        <w:instrText xml:space="preserve">" </w:instrText>
      </w:r>
      <w:r>
        <w:rPr>
          <w:highlight w:val="green"/>
        </w:rPr>
        <w:fldChar w:fldCharType="end"/>
      </w:r>
      <w:r>
        <w:t>, un produit (en comptabilité financière) est tout ce qui l’augmente (le terme « produit » n’a pas le même sens en comptabilité analytique).</w:t>
      </w:r>
    </w:p>
    <w:p w14:paraId="248C36AE" w14:textId="77777777" w:rsidR="005D07A6" w:rsidRDefault="00F42774">
      <w:pPr>
        <w:pStyle w:val="CTEspDessous"/>
      </w:pPr>
      <w:r>
        <w:t xml:space="preserve">En comptabilité financière, le principal critère d’analyse et de classement des charges est la </w:t>
      </w:r>
      <w:r>
        <w:rPr>
          <w:b/>
          <w:bCs/>
        </w:rPr>
        <w:t>nature</w:t>
      </w:r>
      <w:r>
        <w:t xml:space="preserve"> de ces charges : on distingue les achats, les charges de personnel, les dotations aux amortissements, etc. (selon la nomenclature de la classe 6 dans le plan comptable français actuel).</w:t>
      </w:r>
    </w:p>
    <w:p w14:paraId="321A7998" w14:textId="77777777" w:rsidR="005D07A6" w:rsidRDefault="00F42774">
      <w:pPr>
        <w:pStyle w:val="CTEspDessous"/>
      </w:pPr>
      <w:r>
        <w:t>Un tel classement permet de faciliter l’organisation des contrôles effectués notamment par les commissaires aux comptes et l’administration fiscale (les achats enregistrés dans le compte « Achats » peuvent être contrôlés à partir des factures des fournisseurs, par exemple). Il permet également de faire une analyse de la formation du résultat global sur la base de la détermination des soldes intermédiaires de gestion.</w:t>
      </w:r>
    </w:p>
    <w:p w14:paraId="3CB78187" w14:textId="77777777" w:rsidR="005D07A6" w:rsidRDefault="00F42774">
      <w:pPr>
        <w:pStyle w:val="CTEspDessous"/>
      </w:pPr>
      <w:r>
        <w:t xml:space="preserve">En revanche, en </w:t>
      </w:r>
      <w:r>
        <w:rPr>
          <w:b/>
          <w:bCs/>
        </w:rPr>
        <w:t>comptabilité de gestion</w:t>
      </w:r>
      <w:r>
        <w:rPr>
          <w:highlight w:val="green"/>
        </w:rPr>
        <w:fldChar w:fldCharType="begin"/>
      </w:r>
      <w:r>
        <w:rPr>
          <w:highlight w:val="green"/>
        </w:rPr>
        <w:instrText xml:space="preserve"> XE "</w:instrText>
      </w:r>
      <w:r>
        <w:rPr>
          <w:noProof/>
          <w:highlight w:val="green"/>
        </w:rPr>
        <w:instrText>Comptabilité</w:instrText>
      </w:r>
      <w:r>
        <w:rPr>
          <w:highlight w:val="green"/>
        </w:rPr>
        <w:instrText>:</w:instrText>
      </w:r>
      <w:r>
        <w:rPr>
          <w:noProof/>
          <w:highlight w:val="green"/>
        </w:rPr>
        <w:instrText>– de gestion</w:instrText>
      </w:r>
      <w:r>
        <w:rPr>
          <w:highlight w:val="green"/>
        </w:rPr>
        <w:instrText xml:space="preserve">" </w:instrText>
      </w:r>
      <w:r>
        <w:rPr>
          <w:highlight w:val="green"/>
        </w:rPr>
        <w:fldChar w:fldCharType="end"/>
      </w:r>
      <w:r>
        <w:t>, ce sont d’autres critères qui sont pertinents, en fonction des objectifs de calcul des coûts, d’appréciation des performances et d’aide à la budgétisation et à la décision.</w:t>
      </w:r>
    </w:p>
    <w:p w14:paraId="66F0F28E" w14:textId="77777777" w:rsidR="005D07A6" w:rsidRDefault="00F42774">
      <w:pPr>
        <w:pStyle w:val="T4"/>
      </w:pPr>
      <w:r>
        <w:t>II.</w:t>
      </w:r>
      <w:r>
        <w:tab/>
        <w:t>Les coûts</w:t>
      </w:r>
    </w:p>
    <w:p w14:paraId="44961B9C" w14:textId="77777777" w:rsidR="005D07A6" w:rsidRDefault="00F42774">
      <w:pPr>
        <w:pStyle w:val="debutfilet"/>
      </w:pPr>
      <w:r>
        <w:t>Definition</w:t>
      </w:r>
    </w:p>
    <w:p w14:paraId="4DAE0A56" w14:textId="77777777" w:rsidR="005D07A6" w:rsidRDefault="00F42774">
      <w:pPr>
        <w:pStyle w:val="LibelleRubrique"/>
      </w:pPr>
      <w:r>
        <w:t>Définition</w:t>
      </w:r>
    </w:p>
    <w:p w14:paraId="28CF56D7" w14:textId="77777777" w:rsidR="005D07A6" w:rsidRDefault="00F42774">
      <w:pPr>
        <w:pStyle w:val="CT"/>
      </w:pPr>
      <w:r>
        <w:t xml:space="preserve">Un </w:t>
      </w:r>
      <w:r>
        <w:rPr>
          <w:b/>
          <w:bCs/>
          <w:i/>
          <w:iCs/>
          <w:color w:val="FF0000"/>
        </w:rPr>
        <w:t>coût</w:t>
      </w:r>
      <w:r>
        <w:rPr>
          <w:highlight w:val="green"/>
        </w:rPr>
        <w:fldChar w:fldCharType="begin"/>
      </w:r>
      <w:r>
        <w:rPr>
          <w:highlight w:val="green"/>
        </w:rPr>
        <w:instrText xml:space="preserve"> XE "</w:instrText>
      </w:r>
      <w:r>
        <w:rPr>
          <w:noProof/>
          <w:highlight w:val="green"/>
        </w:rPr>
        <w:instrText>Coût</w:instrText>
      </w:r>
      <w:r>
        <w:rPr>
          <w:highlight w:val="green"/>
        </w:rPr>
        <w:instrText xml:space="preserve">" </w:instrText>
      </w:r>
      <w:r>
        <w:rPr>
          <w:highlight w:val="green"/>
        </w:rPr>
        <w:fldChar w:fldCharType="end"/>
      </w:r>
      <w:r>
        <w:t xml:space="preserve"> est un ensemble de charges.</w:t>
      </w:r>
    </w:p>
    <w:p w14:paraId="35434887" w14:textId="77777777" w:rsidR="005D07A6" w:rsidRDefault="00F42774">
      <w:pPr>
        <w:pStyle w:val="finfilet"/>
      </w:pPr>
      <w:r>
        <w:t>Fin Definition</w:t>
      </w:r>
    </w:p>
    <w:p w14:paraId="71423563" w14:textId="77777777" w:rsidR="005D07A6" w:rsidRDefault="00F42774">
      <w:pPr>
        <w:pStyle w:val="CTEspDessous"/>
      </w:pPr>
      <w:r>
        <w:t>Il n’y a pas de différence de nature entre coût et charge. Le terme de charge est propre à la comptabilité financière. En comptabilité de gestion, pour aider le dirigeant à prendre des décisions, une attention particulière sera accordée aux charges. Elles seront décortiquées, divisées, regroupées, anticipées, comparées… En un mot, elles seront « analysées », d’où le terme de « comptabilité analytique ».</w:t>
      </w:r>
    </w:p>
    <w:p w14:paraId="140708B6" w14:textId="77777777" w:rsidR="005D07A6" w:rsidRDefault="00F42774">
      <w:pPr>
        <w:pStyle w:val="CTEspDessous"/>
      </w:pPr>
      <w:r>
        <w:t>Lorsque des charges de natures différentes sont additionnées, on ne parle plus de charges, mais de coûts. Un coût est donc un calcul, un regroupement de charges.</w:t>
      </w:r>
    </w:p>
    <w:p w14:paraId="6CE5D766" w14:textId="77777777" w:rsidR="005D07A6" w:rsidRDefault="00F42774">
      <w:pPr>
        <w:pStyle w:val="CTEspDessous"/>
      </w:pPr>
      <w:r>
        <w:lastRenderedPageBreak/>
        <w:t>Certains auteurs vont même jusqu’à dire qu’un coût est une opinion (</w:t>
      </w:r>
      <w:r>
        <w:rPr>
          <w:b/>
          <w:bCs/>
        </w:rPr>
        <w:t>A. Burlaud</w:t>
      </w:r>
      <w:r>
        <w:rPr>
          <w:highlight w:val="green"/>
        </w:rPr>
        <w:fldChar w:fldCharType="begin"/>
      </w:r>
      <w:r>
        <w:rPr>
          <w:highlight w:val="green"/>
        </w:rPr>
        <w:instrText xml:space="preserve"> XE "</w:instrText>
      </w:r>
      <w:r>
        <w:rPr>
          <w:noProof/>
          <w:highlight w:val="green"/>
        </w:rPr>
        <w:instrText>Burlaud</w:instrText>
      </w:r>
      <w:r>
        <w:rPr>
          <w:highlight w:val="green"/>
        </w:rPr>
        <w:instrText xml:space="preserve">" </w:instrText>
      </w:r>
      <w:r>
        <w:rPr>
          <w:highlight w:val="green"/>
        </w:rPr>
        <w:fldChar w:fldCharType="end"/>
      </w:r>
      <w:r>
        <w:t>). Il faut comprendre dans cette expression qu’un coût n’existe pas en tant que tel, mais que le comptable va le calculer. Or, pour effectuer ces calculs, il peut être amené à faire des choix, des arbitrages. Le coût est alors le résultat de ces arbitrages.</w:t>
      </w:r>
    </w:p>
    <w:p w14:paraId="4885677B" w14:textId="77777777" w:rsidR="005D07A6" w:rsidRDefault="00F42774">
      <w:pPr>
        <w:pStyle w:val="debutfilet"/>
      </w:pPr>
      <w:r>
        <w:t>Exemple</w:t>
      </w:r>
    </w:p>
    <w:p w14:paraId="40DFA43D" w14:textId="77777777" w:rsidR="005D07A6" w:rsidRDefault="00F42774">
      <w:pPr>
        <w:pStyle w:val="LibelleRubrique"/>
      </w:pPr>
      <w:r>
        <w:t>Exemple</w:t>
      </w:r>
    </w:p>
    <w:p w14:paraId="5EAC87BC" w14:textId="77777777" w:rsidR="005D07A6" w:rsidRDefault="00F42774">
      <w:pPr>
        <w:pStyle w:val="CT"/>
      </w:pPr>
      <w:r>
        <w:t>Si j’achète un agneau sur le marché à 20 € et que les frais de transport sont de 5 €, je peux dire que son coût est de 25 €. Mais si, le même jour, j’ai acheté deux poulets sans que le coût du transport ait été modifié, quel est le coût de l’agneau ? Est-il de 20 €, de 25 € ou entre les deux ? Il y a là une décision à prendre pour répartir le coût du transport entre les différents achats. Le coût est toujours le résultat d’un calcul, donc d’une opinion.</w:t>
      </w:r>
    </w:p>
    <w:p w14:paraId="1BE00D64" w14:textId="77777777" w:rsidR="005D07A6" w:rsidRDefault="00F42774">
      <w:pPr>
        <w:pStyle w:val="finfilet"/>
      </w:pPr>
      <w:r>
        <w:t>Fin Exemple</w:t>
      </w:r>
    </w:p>
    <w:p w14:paraId="7D6E83D9" w14:textId="77777777" w:rsidR="005D07A6" w:rsidRDefault="00F42774">
      <w:pPr>
        <w:pStyle w:val="T4"/>
      </w:pPr>
      <w:r>
        <w:t>III.</w:t>
      </w:r>
      <w:r>
        <w:tab/>
        <w:t>La typologie du PCG (plan comptable général)</w:t>
      </w:r>
    </w:p>
    <w:p w14:paraId="13C529D3" w14:textId="77777777" w:rsidR="005D07A6" w:rsidRDefault="00F42774">
      <w:pPr>
        <w:pStyle w:val="CT"/>
      </w:pPr>
      <w:r>
        <w:t xml:space="preserve">Le PCG 1982 proposait une </w:t>
      </w:r>
      <w:r>
        <w:rPr>
          <w:b/>
          <w:bCs/>
        </w:rPr>
        <w:t>typologie des coûts</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typologie des coûts</w:instrText>
      </w:r>
      <w:r>
        <w:rPr>
          <w:highlight w:val="green"/>
        </w:rPr>
        <w:instrText xml:space="preserve">" </w:instrText>
      </w:r>
      <w:r>
        <w:rPr>
          <w:highlight w:val="green"/>
        </w:rPr>
        <w:fldChar w:fldCharType="end"/>
      </w:r>
      <w:r>
        <w:t xml:space="preserve"> en fonction de trois caractéristiques indépendantes les unes des autres.</w:t>
      </w:r>
    </w:p>
    <w:p w14:paraId="0DE23F39" w14:textId="77777777" w:rsidR="005D07A6" w:rsidRDefault="00F42774">
      <w:pPr>
        <w:pStyle w:val="CT"/>
        <w:jc w:val="center"/>
      </w:pPr>
      <w:r>
        <w:rPr>
          <w:noProof/>
        </w:rPr>
        <w:drawing>
          <wp:inline distT="0" distB="0" distL="0" distR="0" wp14:anchorId="54B77735" wp14:editId="1D650532">
            <wp:extent cx="4456562" cy="2615411"/>
            <wp:effectExtent l="0" t="0" r="1270" b="0"/>
            <wp:docPr id="1" name="Image 1" descr="Pas de visualisation pour [UE202526_433_S1_fichiers/UE121S1_024.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s de visualisation pour [UE202526_433_S1_fichiers/UE121S1_024.png]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56562" cy="2615411"/>
                    </a:xfrm>
                    <a:prstGeom prst="rect">
                      <a:avLst/>
                    </a:prstGeom>
                    <a:noFill/>
                    <a:ln>
                      <a:noFill/>
                    </a:ln>
                  </pic:spPr>
                </pic:pic>
              </a:graphicData>
            </a:graphic>
          </wp:inline>
        </w:drawing>
      </w:r>
      <w:r>
        <w:t>&lt;image&gt;UE121S1_024.png&lt;/image&gt;</w:t>
      </w:r>
    </w:p>
    <w:p w14:paraId="3BA030B2" w14:textId="77777777" w:rsidR="005D07A6" w:rsidRDefault="00F42774">
      <w:pPr>
        <w:pStyle w:val="SOUR"/>
      </w:pPr>
      <w:r>
        <w:t>D’après le PCG 1982.</w:t>
      </w:r>
    </w:p>
    <w:p w14:paraId="0B78DEFB" w14:textId="77777777" w:rsidR="005D07A6" w:rsidRDefault="00F42774">
      <w:pPr>
        <w:pStyle w:val="ET"/>
      </w:pPr>
      <w:r>
        <w:t xml:space="preserve">Le </w:t>
      </w:r>
      <w:r>
        <w:rPr>
          <w:b/>
          <w:bCs/>
        </w:rPr>
        <w:t>champ d’application</w:t>
      </w:r>
      <w:r>
        <w:t> :</w:t>
      </w:r>
    </w:p>
    <w:p w14:paraId="370EED25" w14:textId="77777777" w:rsidR="005D07A6" w:rsidRDefault="00F42774">
      <w:pPr>
        <w:pStyle w:val="SEP"/>
      </w:pPr>
      <w:r>
        <w:t xml:space="preserve">coût par </w:t>
      </w:r>
      <w:r>
        <w:rPr>
          <w:b/>
          <w:bCs/>
        </w:rPr>
        <w:t>fonction économique</w:t>
      </w:r>
      <w:r>
        <w:t> : regroupement du point de vue du fonctionnement interne (administration, production, distribution…) ;</w:t>
      </w:r>
    </w:p>
    <w:p w14:paraId="52AC737D" w14:textId="77777777" w:rsidR="005D07A6" w:rsidRDefault="00F42774">
      <w:pPr>
        <w:pStyle w:val="SEP"/>
      </w:pPr>
      <w:r>
        <w:t xml:space="preserve">coût par </w:t>
      </w:r>
      <w:r>
        <w:rPr>
          <w:b/>
          <w:bCs/>
        </w:rPr>
        <w:t>moyen d’exploitation</w:t>
      </w:r>
      <w:r>
        <w:t> : regroupement des charges en fonction du moyen qui les a suscitées (usine, atelier, machine, canal de distribution…) ;</w:t>
      </w:r>
    </w:p>
    <w:p w14:paraId="3CD77474" w14:textId="77777777" w:rsidR="005D07A6" w:rsidRDefault="00F42774">
      <w:pPr>
        <w:pStyle w:val="SEP"/>
      </w:pPr>
      <w:r>
        <w:t xml:space="preserve">coût par </w:t>
      </w:r>
      <w:r>
        <w:rPr>
          <w:b/>
          <w:bCs/>
        </w:rPr>
        <w:t>activité d’exploitation</w:t>
      </w:r>
      <w:r>
        <w:t> : à savoir un produit, une ligne de produits, une commande, une zone d’activité, etc. ;</w:t>
      </w:r>
    </w:p>
    <w:p w14:paraId="309B4B27" w14:textId="77777777" w:rsidR="005D07A6" w:rsidRDefault="00F42774">
      <w:pPr>
        <w:pStyle w:val="SEP"/>
      </w:pPr>
      <w:r>
        <w:t xml:space="preserve">coût par </w:t>
      </w:r>
      <w:r>
        <w:rPr>
          <w:b/>
          <w:bCs/>
        </w:rPr>
        <w:t>centre de responsabilité</w:t>
      </w:r>
      <w:r>
        <w:t> : la décentralisation du pouvoir conduit les directions générales à mettre en place des structures qui reçoivent une autorité déléguée pour engager les moyens humains, matériels et financiers dans la limite des objectifs négociés avec la hiérarchie.</w:t>
      </w:r>
    </w:p>
    <w:p w14:paraId="509ED5CF" w14:textId="77777777" w:rsidR="005D07A6" w:rsidRDefault="00F42774">
      <w:pPr>
        <w:pStyle w:val="ET"/>
      </w:pPr>
      <w:r>
        <w:t xml:space="preserve">Le </w:t>
      </w:r>
      <w:r>
        <w:rPr>
          <w:b/>
          <w:bCs/>
        </w:rPr>
        <w:t>moment du calcul</w:t>
      </w:r>
      <w:r>
        <w:t> :</w:t>
      </w:r>
    </w:p>
    <w:p w14:paraId="787D3A57" w14:textId="77777777" w:rsidR="005D07A6" w:rsidRDefault="00F42774">
      <w:pPr>
        <w:pStyle w:val="SEP"/>
      </w:pPr>
      <w:r>
        <w:t xml:space="preserve">coûts </w:t>
      </w:r>
      <w:r>
        <w:rPr>
          <w:b/>
          <w:bCs/>
        </w:rPr>
        <w:t>préétablis</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préétabli</w:instrText>
      </w:r>
      <w:r>
        <w:rPr>
          <w:highlight w:val="green"/>
        </w:rPr>
        <w:instrText xml:space="preserve">" </w:instrText>
      </w:r>
      <w:r>
        <w:rPr>
          <w:highlight w:val="green"/>
        </w:rPr>
        <w:fldChar w:fldCharType="end"/>
      </w:r>
      <w:r>
        <w:t xml:space="preserve"> : calculés </w:t>
      </w:r>
      <w:r>
        <w:rPr>
          <w:i/>
          <w:iCs/>
        </w:rPr>
        <w:t>a priori</w:t>
      </w:r>
      <w:r>
        <w:t xml:space="preserve"> en fonction de normes de production et de prévisions d’activité, ils permettent de prévoir (budgets, devis) et, après l’action, d’ajuster (organiser les rétroactions nécessaires sur les prévisions, les objectifs et les actions) ;</w:t>
      </w:r>
    </w:p>
    <w:p w14:paraId="77341B21" w14:textId="77777777" w:rsidR="005D07A6" w:rsidRDefault="00F42774">
      <w:pPr>
        <w:pStyle w:val="SEP"/>
      </w:pPr>
      <w:r>
        <w:t xml:space="preserve">coûts </w:t>
      </w:r>
      <w:r>
        <w:rPr>
          <w:b/>
          <w:bCs/>
        </w:rPr>
        <w:t>constatés</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constaté</w:instrText>
      </w:r>
      <w:r>
        <w:rPr>
          <w:highlight w:val="green"/>
        </w:rPr>
        <w:instrText xml:space="preserve">" </w:instrText>
      </w:r>
      <w:r>
        <w:rPr>
          <w:highlight w:val="green"/>
        </w:rPr>
        <w:fldChar w:fldCharType="end"/>
      </w:r>
      <w:r>
        <w:t xml:space="preserve"> (ou historiques ou réels) : calculés </w:t>
      </w:r>
      <w:r>
        <w:rPr>
          <w:i/>
          <w:iCs/>
        </w:rPr>
        <w:t>a posteriori</w:t>
      </w:r>
      <w:r>
        <w:t>, leur confrontation avec les coûts préétablis est un outil de base du contrôle de gestion.</w:t>
      </w:r>
    </w:p>
    <w:p w14:paraId="2501C730" w14:textId="77777777" w:rsidR="005D07A6" w:rsidRDefault="00F42774">
      <w:pPr>
        <w:pStyle w:val="ET"/>
      </w:pPr>
      <w:r>
        <w:lastRenderedPageBreak/>
        <w:t xml:space="preserve">Le </w:t>
      </w:r>
      <w:r>
        <w:rPr>
          <w:b/>
          <w:bCs/>
        </w:rPr>
        <w:t>contenu</w:t>
      </w:r>
      <w:r>
        <w:t> :</w:t>
      </w:r>
    </w:p>
    <w:p w14:paraId="50433C33" w14:textId="77777777" w:rsidR="005D07A6" w:rsidRDefault="00F42774">
      <w:pPr>
        <w:pStyle w:val="SEP"/>
      </w:pPr>
      <w:r>
        <w:t xml:space="preserve">coûts </w:t>
      </w:r>
      <w:r>
        <w:rPr>
          <w:b/>
          <w:bCs/>
        </w:rPr>
        <w:t>complets</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complet</w:instrText>
      </w:r>
      <w:r>
        <w:rPr>
          <w:highlight w:val="green"/>
        </w:rPr>
        <w:instrText xml:space="preserve">" </w:instrText>
      </w:r>
      <w:r>
        <w:rPr>
          <w:highlight w:val="green"/>
        </w:rPr>
        <w:fldChar w:fldCharType="end"/>
      </w:r>
      <w:r>
        <w:t> : ils associent à l’objet de coût l’ensemble des charges qu’il mobilise.</w:t>
      </w:r>
    </w:p>
    <w:p w14:paraId="3E696078" w14:textId="77777777" w:rsidR="005D07A6" w:rsidRDefault="00F42774">
      <w:pPr>
        <w:pStyle w:val="SEPS"/>
      </w:pPr>
      <w:r>
        <w:t>Ce coût peut être « traditionnel », c’est-à-dire n’intégrer que les charges de la comptabilité financière, ou « économique », c’est-à-dire intégrer des éléments en vue d’une meilleure expression économique des coûts (il y aura alors une concordance à faire pour rapprocher le résultat de la comptabilité de gestion avec celui de la comptabilité financière) ;</w:t>
      </w:r>
    </w:p>
    <w:p w14:paraId="6BA6C3AB" w14:textId="77777777" w:rsidR="005D07A6" w:rsidRDefault="00F42774">
      <w:pPr>
        <w:pStyle w:val="SEP"/>
      </w:pPr>
      <w:r>
        <w:t xml:space="preserve">coûts </w:t>
      </w:r>
      <w:r>
        <w:rPr>
          <w:b/>
          <w:bCs/>
        </w:rPr>
        <w:t>partiels</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partiel</w:instrText>
      </w:r>
      <w:r>
        <w:rPr>
          <w:highlight w:val="green"/>
        </w:rPr>
        <w:instrText xml:space="preserve">" </w:instrText>
      </w:r>
      <w:r>
        <w:rPr>
          <w:highlight w:val="green"/>
        </w:rPr>
        <w:fldChar w:fldCharType="end"/>
      </w:r>
      <w:r>
        <w:t xml:space="preserve"> : ils ne prennent en considération que certaines charges. Il est ainsi possible de distinguer : le </w:t>
      </w:r>
      <w:r>
        <w:rPr>
          <w:b/>
          <w:bCs/>
        </w:rPr>
        <w:t>coût variable</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variable</w:instrText>
      </w:r>
      <w:r>
        <w:rPr>
          <w:highlight w:val="green"/>
        </w:rPr>
        <w:instrText xml:space="preserve">" </w:instrText>
      </w:r>
      <w:r>
        <w:rPr>
          <w:highlight w:val="green"/>
        </w:rPr>
        <w:fldChar w:fldCharType="end"/>
      </w:r>
      <w:r>
        <w:t xml:space="preserve"> d’où sont exclues les charges de structures (ou fixes), le coût direct d’où sont exclues les charges indirectes, le </w:t>
      </w:r>
      <w:r>
        <w:rPr>
          <w:b/>
          <w:bCs/>
        </w:rPr>
        <w:t>coût marginal</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marginal</w:instrText>
      </w:r>
      <w:r>
        <w:rPr>
          <w:highlight w:val="green"/>
        </w:rPr>
        <w:instrText xml:space="preserve">" </w:instrText>
      </w:r>
      <w:r>
        <w:rPr>
          <w:highlight w:val="green"/>
        </w:rPr>
        <w:fldChar w:fldCharType="end"/>
      </w:r>
      <w:r>
        <w:t xml:space="preserve"> qui n’intègre que les charges relatives à la dernière unité produite.</w:t>
      </w:r>
    </w:p>
    <w:p w14:paraId="77AD5C6C" w14:textId="77777777" w:rsidR="005D07A6" w:rsidRDefault="00F42774">
      <w:pPr>
        <w:pStyle w:val="T4"/>
      </w:pPr>
      <w:r>
        <w:t>IV.</w:t>
      </w:r>
      <w:r>
        <w:tab/>
        <w:t>La destination des charges</w:t>
      </w:r>
    </w:p>
    <w:p w14:paraId="50BF8B40" w14:textId="77777777" w:rsidR="005D07A6" w:rsidRDefault="00F42774">
      <w:pPr>
        <w:pStyle w:val="CTEspDessous"/>
      </w:pPr>
      <w:r>
        <w:t xml:space="preserve">On distingue deux </w:t>
      </w:r>
      <w:r>
        <w:rPr>
          <w:b/>
          <w:bCs/>
        </w:rPr>
        <w:t>« destinations »</w:t>
      </w:r>
      <w:r>
        <w:t xml:space="preserve"> des charges : les charges directes (CD) et les charges indirectes (CI).</w:t>
      </w:r>
    </w:p>
    <w:p w14:paraId="5F4E055E" w14:textId="77777777" w:rsidR="005D07A6" w:rsidRDefault="00F42774">
      <w:pPr>
        <w:pStyle w:val="debutfilet"/>
      </w:pPr>
      <w:r>
        <w:t>Definition</w:t>
      </w:r>
    </w:p>
    <w:p w14:paraId="4F30CF4C" w14:textId="77777777" w:rsidR="005D07A6" w:rsidRDefault="00F42774">
      <w:pPr>
        <w:pStyle w:val="LibelleRubrique"/>
      </w:pPr>
      <w:r>
        <w:t>Définition</w:t>
      </w:r>
    </w:p>
    <w:p w14:paraId="1E8D82E2" w14:textId="77777777" w:rsidR="005D07A6" w:rsidRDefault="00F42774">
      <w:pPr>
        <w:pStyle w:val="CT"/>
      </w:pPr>
      <w:r>
        <w:t xml:space="preserve">Une </w:t>
      </w:r>
      <w:r>
        <w:rPr>
          <w:b/>
          <w:bCs/>
          <w:i/>
          <w:iCs/>
          <w:color w:val="FF0000"/>
        </w:rPr>
        <w:t>charge directe</w:t>
      </w:r>
      <w:r>
        <w:rPr>
          <w:highlight w:val="green"/>
        </w:rPr>
        <w:fldChar w:fldCharType="begin"/>
      </w:r>
      <w:r>
        <w:rPr>
          <w:highlight w:val="green"/>
        </w:rPr>
        <w:instrText xml:space="preserve"> XE "</w:instrText>
      </w:r>
      <w:r>
        <w:rPr>
          <w:noProof/>
          <w:highlight w:val="green"/>
        </w:rPr>
        <w:instrText>Charge</w:instrText>
      </w:r>
      <w:r>
        <w:rPr>
          <w:highlight w:val="green"/>
        </w:rPr>
        <w:instrText>:</w:instrText>
      </w:r>
      <w:r>
        <w:rPr>
          <w:noProof/>
          <w:highlight w:val="green"/>
        </w:rPr>
        <w:instrText>– directe</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direct</w:instrText>
      </w:r>
      <w:r>
        <w:rPr>
          <w:highlight w:val="green"/>
        </w:rPr>
        <w:instrText xml:space="preserve">" </w:instrText>
      </w:r>
      <w:r>
        <w:rPr>
          <w:highlight w:val="green"/>
        </w:rPr>
        <w:fldChar w:fldCharType="end"/>
      </w:r>
      <w:r>
        <w:t xml:space="preserve"> concerne sans ambiguïté un « objet de coût » particulier.</w:t>
      </w:r>
    </w:p>
    <w:p w14:paraId="35E2DDA3" w14:textId="77777777" w:rsidR="005D07A6" w:rsidRDefault="00F42774">
      <w:pPr>
        <w:pStyle w:val="finfilet"/>
      </w:pPr>
      <w:r>
        <w:t>Fin Definition</w:t>
      </w:r>
    </w:p>
    <w:p w14:paraId="5B5D7F45" w14:textId="77777777" w:rsidR="005D07A6" w:rsidRDefault="00F42774">
      <w:pPr>
        <w:pStyle w:val="CTEspDessous"/>
      </w:pPr>
      <w:r>
        <w:t xml:space="preserve">Par </w:t>
      </w:r>
      <w:r>
        <w:rPr>
          <w:b/>
          <w:bCs/>
        </w:rPr>
        <w:t>objet de coût</w:t>
      </w:r>
      <w:r>
        <w:rPr>
          <w:highlight w:val="green"/>
        </w:rPr>
        <w:fldChar w:fldCharType="begin"/>
      </w:r>
      <w:r>
        <w:rPr>
          <w:highlight w:val="green"/>
        </w:rPr>
        <w:instrText xml:space="preserve"> XE "</w:instrText>
      </w:r>
      <w:r>
        <w:rPr>
          <w:noProof/>
          <w:highlight w:val="green"/>
        </w:rPr>
        <w:instrText>Objet de coût</w:instrText>
      </w:r>
      <w:r>
        <w:rPr>
          <w:highlight w:val="green"/>
        </w:rPr>
        <w:instrText xml:space="preserve">" </w:instrText>
      </w:r>
      <w:r>
        <w:rPr>
          <w:highlight w:val="green"/>
        </w:rPr>
        <w:fldChar w:fldCharType="end"/>
      </w:r>
      <w:r>
        <w:t xml:space="preserve">, on entend principalement les produits (ou services) fabriqués et vendus. Dans une entreprise industrielle qui fabrique plusieurs produits, si un ouvrier travaille pendant une heure pour fabriquer des produits A, il ne peut pas en même temps travailler pour fabriquer des produits B : son salaire rentre sans ambiguïté dans le coût des produits A, pas dans celui des produits B. Les charges de personnel correspondantes représentent des charges directes affectées au coût des produits A : ce sont des charges de « main-d’œuvre directe » (MOD). En revanche, dans cette entreprise, le salaire de la secrétaire du directeur financier ne concerne pas exclusivement les produits A ou les produits B, mais constitue une </w:t>
      </w:r>
      <w:r>
        <w:rPr>
          <w:b/>
          <w:bCs/>
        </w:rPr>
        <w:t>charge commune</w:t>
      </w:r>
      <w:r>
        <w:t xml:space="preserve">, </w:t>
      </w:r>
      <w:r>
        <w:rPr>
          <w:b/>
          <w:bCs/>
        </w:rPr>
        <w:t>« indirecte »</w:t>
      </w:r>
      <w:r>
        <w:t xml:space="preserve">. L’imputation des </w:t>
      </w:r>
      <w:r>
        <w:rPr>
          <w:b/>
          <w:bCs/>
        </w:rPr>
        <w:t>charges indirectes</w:t>
      </w:r>
      <w:r>
        <w:rPr>
          <w:highlight w:val="green"/>
        </w:rPr>
        <w:fldChar w:fldCharType="begin"/>
      </w:r>
      <w:r>
        <w:rPr>
          <w:highlight w:val="green"/>
        </w:rPr>
        <w:instrText xml:space="preserve"> XE "</w:instrText>
      </w:r>
      <w:r>
        <w:rPr>
          <w:noProof/>
          <w:highlight w:val="green"/>
        </w:rPr>
        <w:instrText>Charge</w:instrText>
      </w:r>
      <w:r>
        <w:rPr>
          <w:highlight w:val="green"/>
        </w:rPr>
        <w:instrText>:</w:instrText>
      </w:r>
      <w:r>
        <w:rPr>
          <w:noProof/>
          <w:highlight w:val="green"/>
        </w:rPr>
        <w:instrText>– indirecte</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indirect</w:instrText>
      </w:r>
      <w:r>
        <w:rPr>
          <w:highlight w:val="green"/>
        </w:rPr>
        <w:instrText xml:space="preserve">" </w:instrText>
      </w:r>
      <w:r>
        <w:rPr>
          <w:highlight w:val="green"/>
        </w:rPr>
        <w:fldChar w:fldCharType="end"/>
      </w:r>
      <w:r>
        <w:t xml:space="preserve"> aux produits est beaucoup plus délicate que l’affectation des charges directes et peut se faire selon différentes méthodes, avec toujours une part d’arbitraire.</w:t>
      </w:r>
    </w:p>
    <w:p w14:paraId="2CE857BA" w14:textId="77777777" w:rsidR="005D07A6" w:rsidRDefault="00F42774">
      <w:pPr>
        <w:pStyle w:val="debutfilet"/>
      </w:pPr>
      <w:r>
        <w:t>Definition</w:t>
      </w:r>
    </w:p>
    <w:p w14:paraId="687A565B" w14:textId="77777777" w:rsidR="005D07A6" w:rsidRDefault="00F42774">
      <w:pPr>
        <w:pStyle w:val="LibelleRubrique"/>
      </w:pPr>
      <w:r>
        <w:t>Définition</w:t>
      </w:r>
    </w:p>
    <w:p w14:paraId="384FCE74" w14:textId="77777777" w:rsidR="005D07A6" w:rsidRDefault="00F42774">
      <w:pPr>
        <w:pStyle w:val="CT"/>
      </w:pPr>
      <w:r>
        <w:t xml:space="preserve">Une </w:t>
      </w:r>
      <w:r>
        <w:rPr>
          <w:b/>
          <w:bCs/>
          <w:i/>
          <w:iCs/>
          <w:color w:val="FF0000"/>
        </w:rPr>
        <w:t>charge indirecte</w:t>
      </w:r>
      <w:r>
        <w:t xml:space="preserve"> est une charge pour laquelle le lien entre la consommation et l’objet de coût n’est pas simple à mettre en évidence.</w:t>
      </w:r>
    </w:p>
    <w:p w14:paraId="68B01978" w14:textId="77777777" w:rsidR="005D07A6" w:rsidRDefault="00F42774">
      <w:pPr>
        <w:pStyle w:val="finfilet"/>
      </w:pPr>
      <w:r>
        <w:t>Fin Definition</w:t>
      </w:r>
    </w:p>
    <w:p w14:paraId="46CE0EEC" w14:textId="77777777" w:rsidR="005D07A6" w:rsidRDefault="00F42774">
      <w:pPr>
        <w:pStyle w:val="CTEspDessous"/>
      </w:pPr>
      <w:r>
        <w:t xml:space="preserve">Les terminologies « charge directe » et « charge indirecte » sont largement utilisées dans le plan comptable français, dans la méthode traditionnelle des centres d’analyse et dans les manuels de comptabilité en France. Cette distinction n’est pas toujours aussi nette dans les manuels de comptabilité anglo-saxons et donc dans les développements de la méthode ABC. De nombreux auteurs considèrent, en effet, que la distinction entre charges directes et indirectes n’existe pas vraiment. Toutes les charges deviennent directes lorsque l’on a réussi à identifier le lien de causalité entre la consommation de ressource (le coût) et l’activité (ou l’objet de coût). Si ce raisonnement est vrai de manière théorique, dans la pratique, il n’en demeure pas moins vrai que ce lien n’est parfois pas possible à établir de manière satisfaisante. On retiendra donc qu’il n’y a pas de charge directe ou indirecte par nature, mais que toutes les charges sont plus ou moins directes selon le contexte. La distinction charges directes </w:t>
      </w:r>
      <w:r>
        <w:rPr>
          <w:i/>
          <w:iCs/>
        </w:rPr>
        <w:t>versus</w:t>
      </w:r>
      <w:r>
        <w:t xml:space="preserve"> indirectes est bien pratique, mais la frontière entre ces deux catégories de charges n’est pas franche.</w:t>
      </w:r>
    </w:p>
    <w:p w14:paraId="6A1F5703" w14:textId="77777777" w:rsidR="005D07A6" w:rsidRDefault="00F42774">
      <w:pPr>
        <w:pStyle w:val="T4"/>
      </w:pPr>
      <w:r>
        <w:lastRenderedPageBreak/>
        <w:t>V.</w:t>
      </w:r>
      <w:r>
        <w:tab/>
        <w:t>La variabilité des charges</w:t>
      </w:r>
    </w:p>
    <w:p w14:paraId="4F5A01C7" w14:textId="77777777" w:rsidR="005D07A6" w:rsidRDefault="00F42774">
      <w:pPr>
        <w:pStyle w:val="CTEspDessous"/>
      </w:pPr>
      <w:r>
        <w:t>L’autre critère, également déterminant, est celui de la « variabilité ».</w:t>
      </w:r>
    </w:p>
    <w:p w14:paraId="4B031A84" w14:textId="77777777" w:rsidR="005D07A6" w:rsidRDefault="00F42774">
      <w:pPr>
        <w:pStyle w:val="debutfilet"/>
      </w:pPr>
      <w:r>
        <w:t>Definition</w:t>
      </w:r>
    </w:p>
    <w:p w14:paraId="511D1105" w14:textId="77777777" w:rsidR="005D07A6" w:rsidRDefault="00F42774">
      <w:pPr>
        <w:pStyle w:val="LibelleRubrique"/>
      </w:pPr>
      <w:r>
        <w:t>Définition</w:t>
      </w:r>
    </w:p>
    <w:p w14:paraId="6322C933" w14:textId="77777777" w:rsidR="005D07A6" w:rsidRDefault="00F42774">
      <w:pPr>
        <w:pStyle w:val="CT"/>
      </w:pPr>
      <w:r>
        <w:t xml:space="preserve">Une </w:t>
      </w:r>
      <w:r>
        <w:rPr>
          <w:b/>
          <w:bCs/>
          <w:i/>
          <w:iCs/>
          <w:color w:val="FF0000"/>
        </w:rPr>
        <w:t>charge variable</w:t>
      </w:r>
      <w:r>
        <w:rPr>
          <w:highlight w:val="green"/>
        </w:rPr>
        <w:fldChar w:fldCharType="begin"/>
      </w:r>
      <w:r>
        <w:rPr>
          <w:highlight w:val="green"/>
        </w:rPr>
        <w:instrText xml:space="preserve"> XE "</w:instrText>
      </w:r>
      <w:r>
        <w:rPr>
          <w:noProof/>
          <w:highlight w:val="green"/>
        </w:rPr>
        <w:instrText>Charge</w:instrText>
      </w:r>
      <w:r>
        <w:rPr>
          <w:highlight w:val="green"/>
        </w:rPr>
        <w:instrText>:</w:instrText>
      </w:r>
      <w:r>
        <w:rPr>
          <w:noProof/>
          <w:highlight w:val="green"/>
        </w:rPr>
        <w:instrText>– variable</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variable</w:instrText>
      </w:r>
      <w:r>
        <w:rPr>
          <w:highlight w:val="green"/>
        </w:rPr>
        <w:instrText xml:space="preserve">" </w:instrText>
      </w:r>
      <w:r>
        <w:rPr>
          <w:highlight w:val="green"/>
        </w:rPr>
        <w:fldChar w:fldCharType="end"/>
      </w:r>
      <w:r>
        <w:t xml:space="preserve"> est une charge dont le montant dépend du niveau d’activité.</w:t>
      </w:r>
    </w:p>
    <w:p w14:paraId="488DA84E" w14:textId="77777777" w:rsidR="005D07A6" w:rsidRDefault="00F42774">
      <w:pPr>
        <w:pStyle w:val="finfilet"/>
      </w:pPr>
      <w:r>
        <w:t>Fin Definition</w:t>
      </w:r>
    </w:p>
    <w:p w14:paraId="7D7E9F0F" w14:textId="77777777" w:rsidR="005D07A6" w:rsidRDefault="00F42774">
      <w:pPr>
        <w:pStyle w:val="debutfilet"/>
      </w:pPr>
      <w:r>
        <w:t>Exemple</w:t>
      </w:r>
    </w:p>
    <w:p w14:paraId="7DA903C6" w14:textId="77777777" w:rsidR="005D07A6" w:rsidRDefault="00F42774">
      <w:pPr>
        <w:pStyle w:val="LibelleRubrique"/>
      </w:pPr>
      <w:r>
        <w:t>Exemple</w:t>
      </w:r>
    </w:p>
    <w:p w14:paraId="5802B08C" w14:textId="77777777" w:rsidR="005D07A6" w:rsidRDefault="00F42774">
      <w:pPr>
        <w:pStyle w:val="CT"/>
      </w:pPr>
      <w:r>
        <w:t>Dans une boulangerie industrielle, plus on vend de pain, plus on consomme de farine. Plus le chiffre d’affaires est élevé, plus les commissions aux représentants le sont également. Le plus souvent, par simplification, on considère que les charges variables sont proportionnelles au niveau d’activité, tout du moins jusqu’à un certain seuil (par exemple, les charges de MOD sont proportionnelles à la production mais, à partir d’un certain niveau, si l’on doit payer des heures supplémentaires à un taux majoré, la relation est plus complexe).</w:t>
      </w:r>
    </w:p>
    <w:p w14:paraId="7A3BE12B" w14:textId="77777777" w:rsidR="005D07A6" w:rsidRDefault="00F42774">
      <w:pPr>
        <w:pStyle w:val="finfilet"/>
      </w:pPr>
      <w:r>
        <w:t>Fin Exemple</w:t>
      </w:r>
    </w:p>
    <w:p w14:paraId="663A278E" w14:textId="77777777" w:rsidR="005D07A6" w:rsidRDefault="00F42774">
      <w:pPr>
        <w:pStyle w:val="debutfilet"/>
      </w:pPr>
      <w:r>
        <w:t>Definition</w:t>
      </w:r>
    </w:p>
    <w:p w14:paraId="600C5304" w14:textId="77777777" w:rsidR="005D07A6" w:rsidRDefault="00F42774">
      <w:pPr>
        <w:pStyle w:val="LibelleRubrique"/>
      </w:pPr>
      <w:r>
        <w:t>Définition</w:t>
      </w:r>
    </w:p>
    <w:p w14:paraId="53D9B7E3" w14:textId="77777777" w:rsidR="005D07A6" w:rsidRDefault="00F42774">
      <w:pPr>
        <w:pStyle w:val="CT"/>
      </w:pPr>
      <w:r>
        <w:t xml:space="preserve">Une </w:t>
      </w:r>
      <w:r>
        <w:rPr>
          <w:b/>
          <w:bCs/>
          <w:i/>
          <w:iCs/>
          <w:color w:val="FF0000"/>
        </w:rPr>
        <w:t>charge fixe</w:t>
      </w:r>
      <w:r>
        <w:rPr>
          <w:highlight w:val="green"/>
        </w:rPr>
        <w:fldChar w:fldCharType="begin"/>
      </w:r>
      <w:r>
        <w:rPr>
          <w:highlight w:val="green"/>
        </w:rPr>
        <w:instrText xml:space="preserve"> XE "</w:instrText>
      </w:r>
      <w:r>
        <w:rPr>
          <w:noProof/>
          <w:highlight w:val="green"/>
        </w:rPr>
        <w:instrText>Charge</w:instrText>
      </w:r>
      <w:r>
        <w:rPr>
          <w:highlight w:val="green"/>
        </w:rPr>
        <w:instrText>:</w:instrText>
      </w:r>
      <w:r>
        <w:rPr>
          <w:noProof/>
          <w:highlight w:val="green"/>
        </w:rPr>
        <w:instrText>– fixe</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fixe</w:instrText>
      </w:r>
      <w:r>
        <w:rPr>
          <w:highlight w:val="green"/>
        </w:rPr>
        <w:instrText xml:space="preserve">" </w:instrText>
      </w:r>
      <w:r>
        <w:rPr>
          <w:highlight w:val="green"/>
        </w:rPr>
        <w:fldChar w:fldCharType="end"/>
      </w:r>
      <w:r>
        <w:t xml:space="preserve"> est une charge dont le montant est indépendant du niveau d’activité.</w:t>
      </w:r>
    </w:p>
    <w:p w14:paraId="62706DD5" w14:textId="77777777" w:rsidR="005D07A6" w:rsidRDefault="00F42774">
      <w:pPr>
        <w:pStyle w:val="finfilet"/>
      </w:pPr>
      <w:r>
        <w:t>Fin Definition</w:t>
      </w:r>
    </w:p>
    <w:p w14:paraId="0E327393" w14:textId="77777777" w:rsidR="005D07A6" w:rsidRDefault="00F42774">
      <w:pPr>
        <w:pStyle w:val="debutfilet"/>
      </w:pPr>
      <w:r>
        <w:t>Exemple</w:t>
      </w:r>
    </w:p>
    <w:p w14:paraId="40889728" w14:textId="77777777" w:rsidR="005D07A6" w:rsidRDefault="00F42774">
      <w:pPr>
        <w:pStyle w:val="LibelleRubrique"/>
      </w:pPr>
      <w:r>
        <w:t>Exemple</w:t>
      </w:r>
    </w:p>
    <w:p w14:paraId="531BC1AE" w14:textId="77777777" w:rsidR="005D07A6" w:rsidRDefault="00F42774">
      <w:pPr>
        <w:pStyle w:val="CT"/>
      </w:pPr>
      <w:r>
        <w:t xml:space="preserve">Le salaire de base d’un employé administratif mensualisé ne dépend pas directement, en principe, du niveau d’activité (il peut, par ailleurs, bénéficier d’un intéressement aux résultats, mais c’est un autre problème, un autre poste de charge qui est concerné). Il faut par ailleurs bien comprendre que quand on dit qu’une charge est fixe, ce n’est vrai qu’à </w:t>
      </w:r>
      <w:r>
        <w:rPr>
          <w:b/>
          <w:bCs/>
        </w:rPr>
        <w:t>court terme</w:t>
      </w:r>
      <w:r>
        <w:t>, dans le cadre de la capacité de production actuelle, qui dépend des décisions antérieures d’investissement (à court terme, les salaires des administratifs constituent une charge fixe. Mais à moyen terme, si l’entreprise se développe, il faudra embaucher plus d’administratifs et, à long terme, comme on le voit très bien dans le cadre de la théorie microéconomique, toutes les charges sont variables).</w:t>
      </w:r>
    </w:p>
    <w:p w14:paraId="6AE21C7B" w14:textId="77777777" w:rsidR="005D07A6" w:rsidRDefault="00F42774">
      <w:pPr>
        <w:pStyle w:val="finfilet"/>
      </w:pPr>
      <w:r>
        <w:t>Fin Exemple</w:t>
      </w:r>
    </w:p>
    <w:p w14:paraId="7F6B8694" w14:textId="77777777" w:rsidR="005D07A6" w:rsidRDefault="00F42774">
      <w:pPr>
        <w:pStyle w:val="CTEspDessous"/>
      </w:pPr>
      <w:r>
        <w:t>La connaissance de la « structure » des charges (charges fixes, charges variables) est absolument indispensable pour pouvoir utiliser les données comptables en gestion prévisionnelle. Par exemple, pour établir un budget, on va tabler sur le fait que les charges fixes vont rester fixes et que les charges variables vont évoluer proportionnellement au niveau prévisionnel d’activité.</w:t>
      </w:r>
    </w:p>
    <w:p w14:paraId="5B16CB2F" w14:textId="77777777" w:rsidR="005D07A6" w:rsidRDefault="00F42774">
      <w:pPr>
        <w:pStyle w:val="CTEspDessous"/>
      </w:pPr>
      <w:r>
        <w:t>Ces deux critères peuvent être croisés, et l’on obtient la typologie suivante qui nous permet de distinguer quatre catégories de charges très différentes :</w:t>
      </w:r>
    </w:p>
    <w:tbl>
      <w:tblPr>
        <w:tblW w:w="7643" w:type="dxa"/>
        <w:tblInd w:w="1701" w:type="dxa"/>
        <w:tblLook w:val="04A0" w:firstRow="1" w:lastRow="0" w:firstColumn="1" w:lastColumn="0" w:noHBand="0" w:noVBand="1"/>
      </w:tblPr>
      <w:tblGrid>
        <w:gridCol w:w="1031"/>
        <w:gridCol w:w="3306"/>
        <w:gridCol w:w="3306"/>
      </w:tblGrid>
      <w:tr w:rsidR="005D07A6" w14:paraId="220E89B7" w14:textId="77777777">
        <w:tc>
          <w:tcPr>
            <w:tcW w:w="660" w:type="dxa"/>
            <w:tcBorders>
              <w:top w:val="nil"/>
              <w:left w:val="nil"/>
              <w:bottom w:val="single" w:sz="4" w:space="0" w:color="auto"/>
              <w:right w:val="single" w:sz="4" w:space="0" w:color="auto"/>
            </w:tcBorders>
            <w:tcMar>
              <w:top w:w="0" w:type="dxa"/>
              <w:left w:w="2" w:type="dxa"/>
              <w:bottom w:w="0" w:type="dxa"/>
              <w:right w:w="2" w:type="dxa"/>
            </w:tcMar>
            <w:hideMark/>
          </w:tcPr>
          <w:p w14:paraId="147DA7D0" w14:textId="77777777" w:rsidR="005D07A6" w:rsidRDefault="005D07A6"/>
        </w:tc>
        <w:tc>
          <w:tcPr>
            <w:tcW w:w="253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39B92F5" w14:textId="77777777" w:rsidR="005D07A6" w:rsidRDefault="00F42774">
            <w:pPr>
              <w:pStyle w:val="TA1"/>
              <w:jc w:val="center"/>
              <w:rPr>
                <w:rFonts w:eastAsiaTheme="minorEastAsia"/>
              </w:rPr>
            </w:pPr>
            <w:r>
              <w:rPr>
                <w:b/>
                <w:bCs/>
              </w:rPr>
              <w:t>Charges directes</w:t>
            </w:r>
          </w:p>
        </w:tc>
        <w:tc>
          <w:tcPr>
            <w:tcW w:w="253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26183EA" w14:textId="77777777" w:rsidR="005D07A6" w:rsidRDefault="00F42774">
            <w:pPr>
              <w:pStyle w:val="TA1"/>
              <w:jc w:val="center"/>
              <w:rPr>
                <w:rFonts w:eastAsiaTheme="minorEastAsia"/>
              </w:rPr>
            </w:pPr>
            <w:r>
              <w:rPr>
                <w:b/>
                <w:bCs/>
              </w:rPr>
              <w:t>Charges indirectes</w:t>
            </w:r>
          </w:p>
        </w:tc>
      </w:tr>
      <w:tr w:rsidR="005D07A6" w14:paraId="25FDD6BB" w14:textId="77777777">
        <w:tc>
          <w:tcPr>
            <w:tcW w:w="66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2C605ED" w14:textId="77777777" w:rsidR="005D07A6" w:rsidRDefault="00F42774">
            <w:pPr>
              <w:pStyle w:val="TA1"/>
              <w:rPr>
                <w:rFonts w:eastAsiaTheme="minorEastAsia"/>
              </w:rPr>
            </w:pPr>
            <w:r>
              <w:rPr>
                <w:b/>
                <w:bCs/>
              </w:rPr>
              <w:t>Charges variables</w:t>
            </w:r>
          </w:p>
        </w:tc>
        <w:tc>
          <w:tcPr>
            <w:tcW w:w="25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1DE23C6" w14:textId="77777777" w:rsidR="005D07A6" w:rsidRDefault="00F42774">
            <w:pPr>
              <w:pStyle w:val="TA1"/>
              <w:rPr>
                <w:rFonts w:eastAsiaTheme="minorEastAsia"/>
              </w:rPr>
            </w:pPr>
            <w:r>
              <w:t>Charges directes variables : « </w:t>
            </w:r>
            <w:r>
              <w:rPr>
                <w:b/>
                <w:bCs/>
              </w:rPr>
              <w:t>opérationnelles</w:t>
            </w:r>
            <w:r>
              <w:t> »</w:t>
            </w:r>
            <w:r>
              <w:rPr>
                <w:highlight w:val="green"/>
              </w:rPr>
              <w:fldChar w:fldCharType="begin"/>
            </w:r>
            <w:r>
              <w:rPr>
                <w:highlight w:val="green"/>
              </w:rPr>
              <w:instrText xml:space="preserve"> XE "</w:instrText>
            </w:r>
            <w:r>
              <w:rPr>
                <w:noProof/>
                <w:highlight w:val="green"/>
              </w:rPr>
              <w:instrText>Charge</w:instrText>
            </w:r>
            <w:r>
              <w:rPr>
                <w:highlight w:val="green"/>
              </w:rPr>
              <w:instrText>:</w:instrText>
            </w:r>
            <w:r>
              <w:rPr>
                <w:noProof/>
                <w:highlight w:val="green"/>
              </w:rPr>
              <w:instrText>– opérationnelle</w:instrText>
            </w:r>
            <w:r>
              <w:rPr>
                <w:highlight w:val="green"/>
              </w:rPr>
              <w:instrText xml:space="preserve">" </w:instrText>
            </w:r>
            <w:r>
              <w:rPr>
                <w:highlight w:val="green"/>
              </w:rPr>
              <w:fldChar w:fldCharType="end"/>
            </w:r>
          </w:p>
          <w:p w14:paraId="620F3221" w14:textId="77777777" w:rsidR="005D07A6" w:rsidRDefault="00F42774">
            <w:pPr>
              <w:pStyle w:val="TA1"/>
              <w:rPr>
                <w:rFonts w:eastAsiaTheme="minorEastAsia"/>
              </w:rPr>
            </w:pPr>
            <w:r>
              <w:t>Exemple : matières premières, MOD</w:t>
            </w:r>
          </w:p>
        </w:tc>
        <w:tc>
          <w:tcPr>
            <w:tcW w:w="25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C02F599" w14:textId="77777777" w:rsidR="005D07A6" w:rsidRDefault="00F42774">
            <w:pPr>
              <w:pStyle w:val="TA1"/>
              <w:rPr>
                <w:rFonts w:eastAsiaTheme="minorEastAsia"/>
              </w:rPr>
            </w:pPr>
            <w:r>
              <w:t>Charges indirectes variables</w:t>
            </w:r>
          </w:p>
          <w:p w14:paraId="1894F814" w14:textId="77777777" w:rsidR="005D07A6" w:rsidRDefault="00F42774">
            <w:pPr>
              <w:pStyle w:val="TA1"/>
              <w:rPr>
                <w:rFonts w:eastAsiaTheme="minorEastAsia"/>
              </w:rPr>
            </w:pPr>
            <w:r>
              <w:t>Exemple : électricité consommée par une machine-outil</w:t>
            </w:r>
          </w:p>
        </w:tc>
      </w:tr>
      <w:tr w:rsidR="005D07A6" w14:paraId="40072D76" w14:textId="77777777">
        <w:tc>
          <w:tcPr>
            <w:tcW w:w="66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6239802" w14:textId="77777777" w:rsidR="005D07A6" w:rsidRDefault="00F42774">
            <w:pPr>
              <w:pStyle w:val="TA1"/>
              <w:rPr>
                <w:rFonts w:eastAsiaTheme="minorEastAsia"/>
              </w:rPr>
            </w:pPr>
            <w:r>
              <w:rPr>
                <w:b/>
                <w:bCs/>
              </w:rPr>
              <w:t>Charges fixes</w:t>
            </w:r>
          </w:p>
        </w:tc>
        <w:tc>
          <w:tcPr>
            <w:tcW w:w="25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E8B308F" w14:textId="77777777" w:rsidR="005D07A6" w:rsidRDefault="00F42774">
            <w:pPr>
              <w:pStyle w:val="TA1"/>
              <w:rPr>
                <w:rFonts w:eastAsiaTheme="minorEastAsia"/>
              </w:rPr>
            </w:pPr>
            <w:r>
              <w:t xml:space="preserve">Charges directes fixes (ou charges </w:t>
            </w:r>
            <w:r>
              <w:rPr>
                <w:highlight w:val="green"/>
              </w:rPr>
              <w:fldChar w:fldCharType="begin"/>
            </w:r>
            <w:r>
              <w:rPr>
                <w:highlight w:val="green"/>
              </w:rPr>
              <w:instrText xml:space="preserve"> XE "</w:instrText>
            </w:r>
            <w:r>
              <w:rPr>
                <w:noProof/>
                <w:highlight w:val="green"/>
              </w:rPr>
              <w:instrText>Charge</w:instrText>
            </w:r>
            <w:r>
              <w:rPr>
                <w:highlight w:val="green"/>
              </w:rPr>
              <w:instrText>:</w:instrText>
            </w:r>
            <w:r>
              <w:rPr>
                <w:noProof/>
                <w:highlight w:val="green"/>
              </w:rPr>
              <w:instrText>– spécifique</w:instrText>
            </w:r>
            <w:r>
              <w:rPr>
                <w:highlight w:val="green"/>
              </w:rPr>
              <w:instrText xml:space="preserve">" </w:instrText>
            </w:r>
            <w:r>
              <w:rPr>
                <w:highlight w:val="green"/>
              </w:rPr>
              <w:fldChar w:fldCharType="end"/>
            </w:r>
            <w:r>
              <w:rPr>
                <w:b/>
                <w:bCs/>
              </w:rPr>
              <w:t>spécifiques</w:t>
            </w:r>
            <w:r>
              <w:t>)</w:t>
            </w:r>
          </w:p>
          <w:p w14:paraId="6CD2C1C0" w14:textId="77777777" w:rsidR="005D07A6" w:rsidRDefault="00F42774">
            <w:pPr>
              <w:pStyle w:val="TA1"/>
              <w:rPr>
                <w:rFonts w:eastAsiaTheme="minorEastAsia"/>
              </w:rPr>
            </w:pPr>
            <w:r>
              <w:t>Exemple : amortissement d’une machine dédiée</w:t>
            </w:r>
          </w:p>
        </w:tc>
        <w:tc>
          <w:tcPr>
            <w:tcW w:w="25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C5FE0DA" w14:textId="77777777" w:rsidR="005D07A6" w:rsidRDefault="00F42774">
            <w:pPr>
              <w:pStyle w:val="TA1"/>
              <w:rPr>
                <w:rFonts w:eastAsiaTheme="minorEastAsia"/>
              </w:rPr>
            </w:pPr>
            <w:r>
              <w:t xml:space="preserve">Charges indirectes fixes : « de </w:t>
            </w:r>
            <w:r>
              <w:rPr>
                <w:highlight w:val="green"/>
              </w:rPr>
              <w:fldChar w:fldCharType="begin"/>
            </w:r>
            <w:r>
              <w:rPr>
                <w:highlight w:val="green"/>
              </w:rPr>
              <w:instrText xml:space="preserve"> XE "</w:instrText>
            </w:r>
            <w:r>
              <w:rPr>
                <w:noProof/>
                <w:highlight w:val="green"/>
              </w:rPr>
              <w:instrText>Charge</w:instrText>
            </w:r>
            <w:r>
              <w:rPr>
                <w:highlight w:val="green"/>
              </w:rPr>
              <w:instrText>:</w:instrText>
            </w:r>
            <w:r>
              <w:rPr>
                <w:noProof/>
                <w:highlight w:val="green"/>
              </w:rPr>
              <w:instrText>– de structure</w:instrText>
            </w:r>
            <w:r>
              <w:rPr>
                <w:highlight w:val="green"/>
              </w:rPr>
              <w:instrText xml:space="preserve">" </w:instrText>
            </w:r>
            <w:r>
              <w:rPr>
                <w:highlight w:val="green"/>
              </w:rPr>
              <w:fldChar w:fldCharType="end"/>
            </w:r>
            <w:r>
              <w:rPr>
                <w:b/>
                <w:bCs/>
              </w:rPr>
              <w:t>structure</w:t>
            </w:r>
            <w:r>
              <w:t> »</w:t>
            </w:r>
          </w:p>
          <w:p w14:paraId="35420002" w14:textId="77777777" w:rsidR="005D07A6" w:rsidRDefault="00F42774">
            <w:pPr>
              <w:pStyle w:val="TA1"/>
              <w:rPr>
                <w:rFonts w:eastAsiaTheme="minorEastAsia"/>
              </w:rPr>
            </w:pPr>
            <w:r>
              <w:t>Exemple : « frais généraux » administratifs</w:t>
            </w:r>
          </w:p>
        </w:tc>
      </w:tr>
    </w:tbl>
    <w:p w14:paraId="6E67CE72" w14:textId="77777777" w:rsidR="005D07A6" w:rsidRDefault="00F42774">
      <w:pPr>
        <w:pStyle w:val="T4"/>
        <w:rPr>
          <w:rFonts w:eastAsiaTheme="minorEastAsia"/>
        </w:rPr>
      </w:pPr>
      <w:r>
        <w:t>VI.</w:t>
      </w:r>
      <w:r>
        <w:tab/>
        <w:t>La typologie des coûts</w:t>
      </w:r>
    </w:p>
    <w:p w14:paraId="1F67EFAA" w14:textId="77777777" w:rsidR="005D07A6" w:rsidRDefault="00F42774">
      <w:pPr>
        <w:pStyle w:val="CTEspDessous"/>
      </w:pPr>
      <w:r>
        <w:lastRenderedPageBreak/>
        <w:t>Les coûts étant le principal objet d’étude de la comptabilité analytique, un vocabulaire très riche s’est développé pour définir différents types de coûts dans des contextes très divers. On peut retenir notamment les définitions suivantes :</w:t>
      </w:r>
    </w:p>
    <w:p w14:paraId="71621729" w14:textId="77777777" w:rsidR="005D07A6" w:rsidRDefault="00F42774">
      <w:pPr>
        <w:pStyle w:val="debutfilet"/>
      </w:pPr>
      <w:r>
        <w:t>Definition</w:t>
      </w:r>
    </w:p>
    <w:p w14:paraId="5B1F67E5" w14:textId="77777777" w:rsidR="005D07A6" w:rsidRDefault="00F42774">
      <w:pPr>
        <w:pStyle w:val="LibelleRubrique"/>
      </w:pPr>
      <w:r>
        <w:t>Définition</w:t>
      </w:r>
    </w:p>
    <w:p w14:paraId="5EE19A86" w14:textId="77777777" w:rsidR="005D07A6" w:rsidRDefault="00F42774">
      <w:pPr>
        <w:pStyle w:val="CT"/>
      </w:pPr>
      <w:r>
        <w:t xml:space="preserve">Un </w:t>
      </w:r>
      <w:r>
        <w:rPr>
          <w:b/>
          <w:bCs/>
          <w:i/>
          <w:iCs/>
          <w:color w:val="FF0000"/>
        </w:rPr>
        <w:t>coût perdu</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perdu</w:instrText>
      </w:r>
      <w:r>
        <w:rPr>
          <w:highlight w:val="green"/>
        </w:rPr>
        <w:instrText xml:space="preserve">" </w:instrText>
      </w:r>
      <w:r>
        <w:rPr>
          <w:highlight w:val="green"/>
        </w:rPr>
        <w:fldChar w:fldCharType="end"/>
      </w:r>
      <w:r>
        <w:t xml:space="preserve"> est un coût irrécouvrable, une dépense effectuée à un moment donné, mais sur laquelle il n’est plus possible de revenir.</w:t>
      </w:r>
    </w:p>
    <w:p w14:paraId="0FF1FAD2" w14:textId="77777777" w:rsidR="005D07A6" w:rsidRDefault="00F42774">
      <w:pPr>
        <w:pStyle w:val="finfilet"/>
      </w:pPr>
      <w:r>
        <w:t>Fin Definition</w:t>
      </w:r>
    </w:p>
    <w:p w14:paraId="51301298" w14:textId="77777777" w:rsidR="005D07A6" w:rsidRDefault="00F42774">
      <w:pPr>
        <w:pStyle w:val="debutfilet"/>
      </w:pPr>
      <w:r>
        <w:t>Exemple</w:t>
      </w:r>
    </w:p>
    <w:p w14:paraId="3C4635EC" w14:textId="77777777" w:rsidR="005D07A6" w:rsidRDefault="00F42774">
      <w:pPr>
        <w:pStyle w:val="LibelleRubrique"/>
      </w:pPr>
      <w:r>
        <w:t>Exemple</w:t>
      </w:r>
    </w:p>
    <w:p w14:paraId="6C8F7D5E" w14:textId="77777777" w:rsidR="005D07A6" w:rsidRDefault="00F42774">
      <w:pPr>
        <w:pStyle w:val="CT"/>
      </w:pPr>
      <w:r>
        <w:t>Les frais de rénovation d’un magasin ne se traduisent pas par une augmentation des ventes. Le résultat mensuel est toujours le même, très faiblement positif. Si l’on tient compte du coût du réaménagement, l’entreprise perd de l’argent. Doit-elle arrêter son activité ?</w:t>
      </w:r>
    </w:p>
    <w:p w14:paraId="57C968CC" w14:textId="77777777" w:rsidR="005D07A6" w:rsidRDefault="00F42774">
      <w:pPr>
        <w:pStyle w:val="CT"/>
      </w:pPr>
      <w:r>
        <w:t>Raisonner en coût perdu, c’est considérer que l’investissement doit être « oublié » pour prendre la décision de maintien de l’activité. Le coût aurait pu ou dû être évité. Mais il a été engagé et il n’est plus possible de revenir sur cette décision. Pour le futur, on peut l’ignorer. Tant que l’activité génère un résultat positif, il n’est pas forcément souhaitable de l’interrompre. Au contraire, cela permettra peut-être à terme de récupérer suffisamment d’argent pour compenser la perte liée à l’investissement.</w:t>
      </w:r>
    </w:p>
    <w:p w14:paraId="64C63871" w14:textId="77777777" w:rsidR="005D07A6" w:rsidRDefault="00F42774">
      <w:pPr>
        <w:pStyle w:val="finfilet"/>
      </w:pPr>
      <w:r>
        <w:t>Fin Exemple</w:t>
      </w:r>
    </w:p>
    <w:p w14:paraId="23703B31" w14:textId="77777777" w:rsidR="005D07A6" w:rsidRDefault="00F42774">
      <w:pPr>
        <w:pStyle w:val="debutfilet"/>
      </w:pPr>
      <w:r>
        <w:t>Definition</w:t>
      </w:r>
    </w:p>
    <w:p w14:paraId="239B8F1C" w14:textId="77777777" w:rsidR="005D07A6" w:rsidRDefault="00F42774">
      <w:pPr>
        <w:pStyle w:val="LibelleRubrique"/>
      </w:pPr>
      <w:r>
        <w:t>Définition</w:t>
      </w:r>
    </w:p>
    <w:p w14:paraId="21CDE384" w14:textId="77777777" w:rsidR="005D07A6" w:rsidRDefault="00F42774">
      <w:pPr>
        <w:pStyle w:val="CT"/>
      </w:pPr>
      <w:r>
        <w:t xml:space="preserve">Un </w:t>
      </w:r>
      <w:r>
        <w:rPr>
          <w:b/>
          <w:bCs/>
          <w:i/>
          <w:iCs/>
          <w:color w:val="FF0000"/>
        </w:rPr>
        <w:t>coût d’opportunité</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d’opportunité</w:instrText>
      </w:r>
      <w:r>
        <w:rPr>
          <w:highlight w:val="green"/>
        </w:rPr>
        <w:instrText xml:space="preserve">" </w:instrText>
      </w:r>
      <w:r>
        <w:rPr>
          <w:highlight w:val="green"/>
        </w:rPr>
        <w:fldChar w:fldCharType="end"/>
      </w:r>
      <w:r>
        <w:t xml:space="preserve"> est un manque à gagner lié à un choix d’investissement alternatif.</w:t>
      </w:r>
    </w:p>
    <w:p w14:paraId="729DF739" w14:textId="77777777" w:rsidR="005D07A6" w:rsidRDefault="00F42774">
      <w:pPr>
        <w:pStyle w:val="finfilet"/>
      </w:pPr>
      <w:r>
        <w:t>Fin Definition</w:t>
      </w:r>
    </w:p>
    <w:p w14:paraId="31222F5B" w14:textId="77777777" w:rsidR="005D07A6" w:rsidRDefault="00F42774">
      <w:pPr>
        <w:pStyle w:val="debutfilet"/>
      </w:pPr>
      <w:r>
        <w:t>Exemple</w:t>
      </w:r>
    </w:p>
    <w:p w14:paraId="077F9466" w14:textId="77777777" w:rsidR="005D07A6" w:rsidRDefault="00F42774">
      <w:pPr>
        <w:pStyle w:val="LibelleRubrique"/>
      </w:pPr>
      <w:r>
        <w:t>Exemple</w:t>
      </w:r>
    </w:p>
    <w:p w14:paraId="446CB478" w14:textId="77777777" w:rsidR="005D07A6" w:rsidRDefault="00F42774">
      <w:pPr>
        <w:pStyle w:val="CT"/>
      </w:pPr>
      <w:r>
        <w:t>Si, dans le cas précédent, le magasin permet une rentabilité de 3 % alors qu’un placement génère une rentabilité de 5 %, il est possible de dire que le magasin génère un coût d’opportunité de 2 %. Autrement dit, l’investissement commercial ne rapporte que 3 % alors que si le magasin était revendu et l’argent placé, il rapporterait 5 %.</w:t>
      </w:r>
    </w:p>
    <w:p w14:paraId="195427E7" w14:textId="77777777" w:rsidR="005D07A6" w:rsidRDefault="00F42774">
      <w:pPr>
        <w:pStyle w:val="finfilet"/>
      </w:pPr>
      <w:r>
        <w:t>Fin Exemple</w:t>
      </w:r>
    </w:p>
    <w:p w14:paraId="4C8B8742" w14:textId="77777777" w:rsidR="005D07A6" w:rsidRDefault="00F42774">
      <w:pPr>
        <w:pStyle w:val="debutfilet"/>
      </w:pPr>
      <w:r>
        <w:t>Definition</w:t>
      </w:r>
    </w:p>
    <w:p w14:paraId="1FD0CD9D" w14:textId="77777777" w:rsidR="005D07A6" w:rsidRDefault="00F42774">
      <w:pPr>
        <w:pStyle w:val="LibelleRubrique"/>
      </w:pPr>
      <w:r>
        <w:t>Définition</w:t>
      </w:r>
    </w:p>
    <w:p w14:paraId="286CC353" w14:textId="77777777" w:rsidR="005D07A6" w:rsidRDefault="00F42774">
      <w:pPr>
        <w:pStyle w:val="CT"/>
      </w:pPr>
      <w:r>
        <w:t xml:space="preserve">Un </w:t>
      </w:r>
      <w:r>
        <w:rPr>
          <w:b/>
          <w:bCs/>
          <w:i/>
          <w:iCs/>
          <w:color w:val="FF0000"/>
        </w:rPr>
        <w:t>coût discrétionnaire</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discrétionnaire</w:instrText>
      </w:r>
      <w:r>
        <w:rPr>
          <w:highlight w:val="green"/>
        </w:rPr>
        <w:instrText xml:space="preserve">" </w:instrText>
      </w:r>
      <w:r>
        <w:rPr>
          <w:highlight w:val="green"/>
        </w:rPr>
        <w:fldChar w:fldCharType="end"/>
      </w:r>
      <w:r>
        <w:t xml:space="preserve"> est un coût qui dépend d’une décision arbitraire et autoritaire. C’est un coût fixe.</w:t>
      </w:r>
    </w:p>
    <w:p w14:paraId="6F8DFEF9" w14:textId="77777777" w:rsidR="005D07A6" w:rsidRDefault="00F42774">
      <w:pPr>
        <w:pStyle w:val="finfilet"/>
      </w:pPr>
      <w:r>
        <w:t>Fin Definition</w:t>
      </w:r>
    </w:p>
    <w:p w14:paraId="357B7CA9" w14:textId="77777777" w:rsidR="005D07A6" w:rsidRDefault="00F42774">
      <w:pPr>
        <w:pStyle w:val="debutfilet"/>
      </w:pPr>
      <w:r>
        <w:t>Exemple</w:t>
      </w:r>
    </w:p>
    <w:p w14:paraId="5D6A2FF1" w14:textId="77777777" w:rsidR="005D07A6" w:rsidRDefault="00F42774">
      <w:pPr>
        <w:pStyle w:val="LibelleRubrique"/>
      </w:pPr>
      <w:r>
        <w:t>Exemple</w:t>
      </w:r>
    </w:p>
    <w:p w14:paraId="4DBE1481" w14:textId="77777777" w:rsidR="005D07A6" w:rsidRDefault="00F42774">
      <w:pPr>
        <w:pStyle w:val="CT"/>
      </w:pPr>
      <w:r>
        <w:t>Le gérant du magasin décide chaque année de financer une campagne publicitaire. Ce coût publicitaire, c’est-à-dire le montant et la date de la campagne, est décidé chaque année. Habituellement, le gérant consacre de l’ordre de 5 % de son CA annuel à cette campagne. Mais il n’a aucune obligation de le faire. Une année, il peut décider de ne pas financer de publicité. L’année suivante, il peut décider de financer une campagne plus importante de 10 % du CA. Le montant est laissé à sa propre appréciation, à sa « discrétion ».</w:t>
      </w:r>
    </w:p>
    <w:p w14:paraId="10257E8B" w14:textId="77777777" w:rsidR="005D07A6" w:rsidRDefault="00F42774">
      <w:pPr>
        <w:pStyle w:val="finfilet"/>
      </w:pPr>
      <w:r>
        <w:t>Fin Exemple</w:t>
      </w:r>
    </w:p>
    <w:p w14:paraId="097460A2" w14:textId="77777777" w:rsidR="005D07A6" w:rsidRDefault="00F42774">
      <w:pPr>
        <w:pStyle w:val="debutfilet"/>
      </w:pPr>
      <w:r>
        <w:t>Attention</w:t>
      </w:r>
    </w:p>
    <w:p w14:paraId="50ABDAED" w14:textId="77777777" w:rsidR="005D07A6" w:rsidRDefault="00F42774">
      <w:pPr>
        <w:pStyle w:val="LibelleRubrique"/>
      </w:pPr>
      <w:r>
        <w:t>Attention</w:t>
      </w:r>
    </w:p>
    <w:p w14:paraId="6BFA9927" w14:textId="77777777" w:rsidR="005D07A6" w:rsidRDefault="00F42774">
      <w:pPr>
        <w:pStyle w:val="CT"/>
      </w:pPr>
      <w:r>
        <w:t>Ces définitions font souvent l’objet d’une question de cours ou d’un commentaire dans les sujets d’examen. Elles sont donc à connaître !</w:t>
      </w:r>
    </w:p>
    <w:p w14:paraId="07D24BF5" w14:textId="77777777" w:rsidR="005D07A6" w:rsidRDefault="00F42774">
      <w:pPr>
        <w:pStyle w:val="finfilet"/>
      </w:pPr>
      <w:r>
        <w:lastRenderedPageBreak/>
        <w:t>Fin Attention</w:t>
      </w:r>
    </w:p>
    <w:p w14:paraId="29B8A0F1" w14:textId="77777777" w:rsidR="005D07A6" w:rsidRDefault="00F42774">
      <w:pPr>
        <w:pStyle w:val="T3"/>
      </w:pPr>
      <w:r>
        <w:t>section 4.</w:t>
      </w:r>
      <w:r>
        <w:tab/>
        <w:t>Les différentes « méthodes » de calcul de coûts</w:t>
      </w:r>
    </w:p>
    <w:p w14:paraId="2B02F41A" w14:textId="77777777" w:rsidR="005D07A6" w:rsidRDefault="00F42774">
      <w:pPr>
        <w:pStyle w:val="CTEspDessous"/>
      </w:pPr>
      <w:r>
        <w:t xml:space="preserve">Il importe tout d’abord de bien comprendre que le « coût d’un produit » n’existe pas en soi de façon naturelle et objective. On ne peut pas le mesurer comme on mesure la longueur d’un objet en centimètres : c’est un « construit » conceptuellement défini par l’analyste. La </w:t>
      </w:r>
      <w:r>
        <w:rPr>
          <w:b/>
          <w:bCs/>
        </w:rPr>
        <w:t>comptabilité de gestion</w:t>
      </w:r>
      <w:r>
        <w:rPr>
          <w:highlight w:val="green"/>
        </w:rPr>
        <w:fldChar w:fldCharType="begin"/>
      </w:r>
      <w:r>
        <w:rPr>
          <w:highlight w:val="green"/>
        </w:rPr>
        <w:instrText xml:space="preserve"> XE "</w:instrText>
      </w:r>
      <w:r>
        <w:rPr>
          <w:noProof/>
          <w:highlight w:val="green"/>
        </w:rPr>
        <w:instrText>Comptabilité</w:instrText>
      </w:r>
      <w:r>
        <w:rPr>
          <w:highlight w:val="green"/>
        </w:rPr>
        <w:instrText>:</w:instrText>
      </w:r>
      <w:r>
        <w:rPr>
          <w:noProof/>
          <w:highlight w:val="green"/>
        </w:rPr>
        <w:instrText>– de gestion</w:instrText>
      </w:r>
      <w:r>
        <w:rPr>
          <w:highlight w:val="green"/>
        </w:rPr>
        <w:instrText xml:space="preserve">" </w:instrText>
      </w:r>
      <w:r>
        <w:rPr>
          <w:highlight w:val="green"/>
        </w:rPr>
        <w:fldChar w:fldCharType="end"/>
      </w:r>
      <w:r>
        <w:t xml:space="preserve"> représente un travail de modélisation du fonctionnement de l’entreprise. Le modèle ne peut pas être confondu avec la réalité, mais permet de comprendre et d’agir.</w:t>
      </w:r>
    </w:p>
    <w:p w14:paraId="2B5B45EA" w14:textId="77777777" w:rsidR="005D07A6" w:rsidRDefault="00F42774">
      <w:pPr>
        <w:pStyle w:val="T4"/>
      </w:pPr>
      <w:r>
        <w:t>I.</w:t>
      </w:r>
      <w:r>
        <w:tab/>
        <w:t>La comptabilité de gestion, boîte à outils</w:t>
      </w:r>
    </w:p>
    <w:p w14:paraId="6795EBE3" w14:textId="77777777" w:rsidR="005D07A6" w:rsidRDefault="00F42774">
      <w:pPr>
        <w:pStyle w:val="CTEspDessous"/>
      </w:pPr>
      <w:r>
        <w:t xml:space="preserve">Il peut y avoir plusieurs </w:t>
      </w:r>
      <w:r>
        <w:rPr>
          <w:b/>
          <w:bCs/>
        </w:rPr>
        <w:t>types de coûts</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typologie des coûts</w:instrText>
      </w:r>
      <w:r>
        <w:rPr>
          <w:highlight w:val="green"/>
        </w:rPr>
        <w:instrText xml:space="preserve">" </w:instrText>
      </w:r>
      <w:r>
        <w:rPr>
          <w:highlight w:val="green"/>
        </w:rPr>
        <w:fldChar w:fldCharType="end"/>
      </w:r>
      <w:r>
        <w:t>, avec des valeurs différentes, que l’on calcule en fonction des besoins. Il faut avoir le bon modèle, adapté à ce que l’on veut faire. Les cartes d’état-major utilisées par les militaires ne contiennent pas les mêmes informations que les cartes touristiques. S’il s’agit d’évaluer la valeur d’un stock de produits finis, il faut tenir compte de toutes les charges nécessaires pour fabriquer ces produits, y compris l’amortissement des machines par exemple : on calculera un coût « complet ». Mais s’il s’agit de faire une étude prévisionnelle ou de prendre une décision, d’accepter une nouvelle commande, par exemple. Comme, de toute façon, les coûts fixes sont déjà engagés, on a besoin de connaître le coût « marginal », souvent approximé par le coût variable unitaire : on calculera donc un coût « partiel ». Comme les différents besoins existent simultanément, il faut que l’organisation du système comptable permette de calculer ces différents coûts à partir des données de base, en utilisant des procédures (comme l’imputation des charges indirectes, par exemple) qui font l’objet de façon pédagogique de différentes « méthodes » présentées dans plusieurs chapitres successifs (on ne peut pas traiter toutes les difficultés en même temps).</w:t>
      </w:r>
    </w:p>
    <w:p w14:paraId="7D87410C" w14:textId="77777777" w:rsidR="005D07A6" w:rsidRDefault="00F42774">
      <w:pPr>
        <w:pStyle w:val="CTEspDessous"/>
      </w:pPr>
      <w:r>
        <w:t>Cette façon de faire peut laisser penser que l’on peut « choisir » entre ces différentes méthodes : il n’en est rien ! La comptabilité de gestion est un peu comme une boîte à outils : elle contient, par exemple, une scie et un marteau ; pour planter un clou, on n’a pas le choix : c’est le marteau qu’il faut utiliser et non la scie…</w:t>
      </w:r>
    </w:p>
    <w:p w14:paraId="48D7648B" w14:textId="77777777" w:rsidR="005D07A6" w:rsidRDefault="00F42774">
      <w:pPr>
        <w:pStyle w:val="CTEspDessous"/>
      </w:pPr>
      <w:r>
        <w:t>Les différentes « méthodes » de calcul de coûts se distinguent par la manière dont on traite ces différentes catégories de charges. On peut « incorporer » ces charges (les prendre en compte dans les calculs de coûts) en totalité. On peut les incorporer de façon partielle (par exemple, dans l’imputation rationnelle, si on est en sous-activité, on ne prend, pour calculer le coût des produits, qu’une fraction des charges fixes, le reste étant analysé comme le coût de la sous-activité). On peut également ne pas les incorporer du tout ! Par ailleurs, on peut appliquer ces méthodes de façon simplifiée ou plus complexe (pour continuer la métaphore de la carte : on peut choisir l’échelle, la carte IGN au 1:25 000 sera beaucoup plus précise qu’une carte au 1:200 000, dans les deux cas c’est toujours une carte…). Cela revient à prendre en compte quatre, ou seulement trois ou deux catégories de charges dans les calculs. On peut, par exemple, ne retenir que deux catégories, les charges opérationnelles et les charges de structure, et négliger les deux autres catégories si les charges correspondantes sont d’un faible montant.</w:t>
      </w:r>
    </w:p>
    <w:p w14:paraId="0A38F3A7" w14:textId="77777777" w:rsidR="005D07A6" w:rsidRDefault="00F42774">
      <w:pPr>
        <w:pStyle w:val="CTEspDessous"/>
      </w:pPr>
      <w:r>
        <w:t>Concrètement, cela mène aux principales méthodes suivantes.</w:t>
      </w:r>
    </w:p>
    <w:p w14:paraId="45E80843" w14:textId="77777777" w:rsidR="005D07A6" w:rsidRDefault="00F42774">
      <w:pPr>
        <w:pStyle w:val="T4"/>
      </w:pPr>
      <w:r>
        <w:t>II.</w:t>
      </w:r>
      <w:r>
        <w:tab/>
        <w:t>Les méthodes de coûts complets</w:t>
      </w:r>
    </w:p>
    <w:p w14:paraId="7191CDD3" w14:textId="77777777" w:rsidR="005D07A6" w:rsidRDefault="00F42774">
      <w:pPr>
        <w:pStyle w:val="CTEspDessous"/>
      </w:pPr>
      <w:r>
        <w:t>Le grand clivage s’opère entre</w:t>
      </w:r>
      <w:r>
        <w:rPr>
          <w:b/>
          <w:bCs/>
        </w:rPr>
        <w:t xml:space="preserve"> les méthodes de coûts complets</w:t>
      </w:r>
      <w:r>
        <w:rPr>
          <w:b/>
          <w:bCs/>
          <w:highlight w:val="green"/>
        </w:rPr>
        <w:fldChar w:fldCharType="begin"/>
      </w:r>
      <w:r>
        <w:rPr>
          <w:b/>
          <w:bCs/>
          <w:highlight w:val="green"/>
        </w:rPr>
        <w:instrText xml:space="preserve"> XE "</w:instrText>
      </w:r>
      <w:r>
        <w:rPr>
          <w:b/>
          <w:bCs/>
          <w:noProof/>
          <w:highlight w:val="green"/>
        </w:rPr>
        <w:instrText>Coût</w:instrText>
      </w:r>
      <w:r>
        <w:rPr>
          <w:b/>
          <w:bCs/>
          <w:highlight w:val="green"/>
        </w:rPr>
        <w:instrText>:</w:instrText>
      </w:r>
      <w:r>
        <w:rPr>
          <w:b/>
          <w:bCs/>
          <w:noProof/>
          <w:highlight w:val="green"/>
        </w:rPr>
        <w:instrText>– complet</w:instrText>
      </w:r>
      <w:r>
        <w:rPr>
          <w:b/>
          <w:bCs/>
          <w:highlight w:val="green"/>
        </w:rPr>
        <w:instrText xml:space="preserve">" </w:instrText>
      </w:r>
      <w:r>
        <w:rPr>
          <w:b/>
          <w:bCs/>
          <w:highlight w:val="green"/>
        </w:rPr>
        <w:fldChar w:fldCharType="end"/>
      </w:r>
      <w:r>
        <w:rPr>
          <w:b/>
          <w:bCs/>
        </w:rPr>
        <w:t xml:space="preserve"> et les méthodes de coûts partiels</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partiel</w:instrText>
      </w:r>
      <w:r>
        <w:rPr>
          <w:highlight w:val="green"/>
        </w:rPr>
        <w:instrText xml:space="preserve">" </w:instrText>
      </w:r>
      <w:r>
        <w:rPr>
          <w:highlight w:val="green"/>
        </w:rPr>
        <w:fldChar w:fldCharType="end"/>
      </w:r>
      <w:r>
        <w:t>.</w:t>
      </w:r>
    </w:p>
    <w:p w14:paraId="01920F8B" w14:textId="77777777" w:rsidR="005D07A6" w:rsidRDefault="00F42774">
      <w:pPr>
        <w:pStyle w:val="debutfilet"/>
      </w:pPr>
      <w:r>
        <w:t>Definition</w:t>
      </w:r>
    </w:p>
    <w:p w14:paraId="5B6AEC96" w14:textId="77777777" w:rsidR="005D07A6" w:rsidRDefault="00F42774">
      <w:pPr>
        <w:pStyle w:val="LibelleRubrique"/>
      </w:pPr>
      <w:r>
        <w:lastRenderedPageBreak/>
        <w:t>Définition</w:t>
      </w:r>
    </w:p>
    <w:p w14:paraId="30030CF6" w14:textId="77777777" w:rsidR="005D07A6" w:rsidRDefault="00F42774">
      <w:pPr>
        <w:pStyle w:val="CT"/>
      </w:pPr>
      <w:r>
        <w:t xml:space="preserve">Un </w:t>
      </w:r>
      <w:r>
        <w:rPr>
          <w:b/>
          <w:bCs/>
          <w:i/>
          <w:iCs/>
          <w:color w:val="FF0000"/>
        </w:rPr>
        <w:t>coût complet</w:t>
      </w:r>
      <w:r>
        <w:rPr>
          <w:highlight w:val="green"/>
        </w:rPr>
        <w:fldChar w:fldCharType="begin"/>
      </w:r>
      <w:r>
        <w:rPr>
          <w:highlight w:val="green"/>
        </w:rPr>
        <w:instrText xml:space="preserve"> XE "</w:instrText>
      </w:r>
      <w:r>
        <w:rPr>
          <w:noProof/>
          <w:highlight w:val="green"/>
        </w:rPr>
        <w:instrText>Coût complet</w:instrText>
      </w:r>
      <w:r>
        <w:rPr>
          <w:highlight w:val="green"/>
        </w:rPr>
        <w:instrText xml:space="preserve">" </w:instrText>
      </w:r>
      <w:r>
        <w:rPr>
          <w:highlight w:val="green"/>
        </w:rPr>
        <w:fldChar w:fldCharType="end"/>
      </w:r>
      <w:r>
        <w:t xml:space="preserve"> est un coût qui prend en compte la totalité des charges qui concernent l’objet de coût (ce que l’on calcule).</w:t>
      </w:r>
    </w:p>
    <w:p w14:paraId="00150FD7" w14:textId="77777777" w:rsidR="005D07A6" w:rsidRDefault="00F42774">
      <w:pPr>
        <w:pStyle w:val="finfilet"/>
      </w:pPr>
      <w:r>
        <w:t>Fin Definition</w:t>
      </w:r>
    </w:p>
    <w:p w14:paraId="430D4FBF" w14:textId="77777777" w:rsidR="005D07A6" w:rsidRDefault="00F42774">
      <w:pPr>
        <w:pStyle w:val="CTEspDessous"/>
      </w:pPr>
      <w:r>
        <w:t xml:space="preserve">Dans les méthodes de coûts complets, on incorpore </w:t>
      </w:r>
      <w:r>
        <w:rPr>
          <w:b/>
          <w:bCs/>
        </w:rPr>
        <w:t>toutes</w:t>
      </w:r>
      <w:r>
        <w:t xml:space="preserve"> les catégories de charges. La version la plus simple de cette méthode est présentée comme la « méthode de base », ou le « modèle de base » dans lequel, par simplification, on ne prend pas en compte la distinction entre charges fixes et charges variables, mais uniquement la distinction entre charges directes et charges indirectes. La compréhension de ce modèle de base est très importante, car pour éviter des répétitions fastidieuses ensuite, les autres méthodes sont souvent étudiées en se référant à lui : on n’étudie que ce qui diffère par rapport à ce modèle de base. Il importe de bien comprendre que ce modèle de base ne peut être appliqué que sous des hypothèses très restrictives : il n’est pertinent que si le processus de fabrication est très simple et si le niveau d’activité est normal.</w:t>
      </w:r>
    </w:p>
    <w:p w14:paraId="70B92568" w14:textId="77777777" w:rsidR="005D07A6" w:rsidRDefault="00F42774">
      <w:pPr>
        <w:pStyle w:val="CTEspDessous"/>
      </w:pPr>
      <w:r>
        <w:rPr>
          <w:b/>
          <w:bCs/>
        </w:rPr>
        <w:t>Le problème principal concerne le traitement des charges indirectes</w:t>
      </w:r>
      <w:r>
        <w:rPr>
          <w:highlight w:val="green"/>
        </w:rPr>
        <w:fldChar w:fldCharType="begin"/>
      </w:r>
      <w:r>
        <w:rPr>
          <w:highlight w:val="green"/>
        </w:rPr>
        <w:instrText xml:space="preserve"> XE "</w:instrText>
      </w:r>
      <w:r>
        <w:rPr>
          <w:noProof/>
          <w:highlight w:val="green"/>
        </w:rPr>
        <w:instrText>Charge</w:instrText>
      </w:r>
      <w:r>
        <w:rPr>
          <w:highlight w:val="green"/>
        </w:rPr>
        <w:instrText>:</w:instrText>
      </w:r>
      <w:r>
        <w:rPr>
          <w:noProof/>
          <w:highlight w:val="green"/>
        </w:rPr>
        <w:instrText>– indirecte</w:instrText>
      </w:r>
      <w:r>
        <w:rPr>
          <w:highlight w:val="green"/>
        </w:rPr>
        <w:instrText xml:space="preserve">" </w:instrText>
      </w:r>
      <w:r>
        <w:rPr>
          <w:highlight w:val="green"/>
        </w:rPr>
        <w:fldChar w:fldCharType="end"/>
      </w:r>
      <w:r>
        <w:rPr>
          <w:b/>
          <w:bCs/>
        </w:rPr>
        <w:t>.</w:t>
      </w:r>
      <w:r>
        <w:t xml:space="preserve"> Pour ce faire, on est obligé de répartir ces charges indirectes sur des « </w:t>
      </w:r>
      <w:r>
        <w:rPr>
          <w:b/>
          <w:bCs/>
        </w:rPr>
        <w:t>centres d’analyse</w:t>
      </w:r>
      <w:r>
        <w:rPr>
          <w:highlight w:val="green"/>
        </w:rPr>
        <w:fldChar w:fldCharType="begin"/>
      </w:r>
      <w:r>
        <w:rPr>
          <w:highlight w:val="green"/>
        </w:rPr>
        <w:instrText xml:space="preserve"> XE "</w:instrText>
      </w:r>
      <w:r>
        <w:rPr>
          <w:noProof/>
          <w:highlight w:val="green"/>
        </w:rPr>
        <w:instrText>Centre</w:instrText>
      </w:r>
      <w:r>
        <w:rPr>
          <w:highlight w:val="green"/>
        </w:rPr>
        <w:instrText>:</w:instrText>
      </w:r>
      <w:r>
        <w:rPr>
          <w:noProof/>
          <w:highlight w:val="green"/>
        </w:rPr>
        <w:instrText>– d’analyse</w:instrText>
      </w:r>
      <w:r>
        <w:rPr>
          <w:highlight w:val="green"/>
        </w:rPr>
        <w:instrText xml:space="preserve">" </w:instrText>
      </w:r>
      <w:r>
        <w:rPr>
          <w:highlight w:val="green"/>
        </w:rPr>
        <w:fldChar w:fldCharType="end"/>
      </w:r>
      <w:r>
        <w:t> », pour ensuite les imputer aux différents produits proportionnellement à la consommation de ressource. Il faut définir une « unité d’œuvre », l’heure de travail par exemple, et en calculer le coût.</w:t>
      </w:r>
    </w:p>
    <w:p w14:paraId="09DCF827" w14:textId="77777777" w:rsidR="005D07A6" w:rsidRDefault="00F42774">
      <w:pPr>
        <w:pStyle w:val="debutfilet"/>
      </w:pPr>
      <w:r>
        <w:t>Definition</w:t>
      </w:r>
    </w:p>
    <w:p w14:paraId="7D289CE6" w14:textId="77777777" w:rsidR="005D07A6" w:rsidRDefault="00F42774">
      <w:pPr>
        <w:pStyle w:val="LibelleRubrique"/>
      </w:pPr>
      <w:r>
        <w:t>Définition</w:t>
      </w:r>
    </w:p>
    <w:p w14:paraId="1A180E41" w14:textId="77777777" w:rsidR="005D07A6" w:rsidRDefault="00F42774">
      <w:pPr>
        <w:pStyle w:val="CT"/>
      </w:pPr>
      <w:r>
        <w:t xml:space="preserve">Un </w:t>
      </w:r>
      <w:r>
        <w:rPr>
          <w:b/>
          <w:bCs/>
          <w:i/>
          <w:iCs/>
          <w:color w:val="FF0000"/>
        </w:rPr>
        <w:t>centre d’analyse</w:t>
      </w:r>
      <w:r>
        <w:t xml:space="preserve"> est une subdivision de l’entreprise qui permet de regrouper des coûts indirects de manière homogène afin de les imputer ensuite sur les objets de coûts (ce que l’on calcule). La terminologie « centre d’analyse » est issue des différents plans comptables utilisés en France de 1947 à 1999.</w:t>
      </w:r>
    </w:p>
    <w:p w14:paraId="27E7A044" w14:textId="77777777" w:rsidR="005D07A6" w:rsidRDefault="00F42774">
      <w:pPr>
        <w:pStyle w:val="finfilet"/>
      </w:pPr>
      <w:r>
        <w:t>Fin Definition</w:t>
      </w:r>
    </w:p>
    <w:p w14:paraId="7BFC2392" w14:textId="77777777" w:rsidR="005D07A6" w:rsidRDefault="00F42774">
      <w:pPr>
        <w:pStyle w:val="CTEspDessous"/>
      </w:pPr>
      <w:r>
        <w:t xml:space="preserve">Plusieurs possibilités s’offrent pour le découpage en centres d’analyse. Souvent, le plus simple est de se calquer sur l’organisation hiérarchique et de prendre les différents ateliers ou services : c’est la </w:t>
      </w:r>
      <w:r>
        <w:rPr>
          <w:b/>
          <w:bCs/>
        </w:rPr>
        <w:t>méthode des centres de responsabilité</w:t>
      </w:r>
      <w:r>
        <w:rPr>
          <w:highlight w:val="green"/>
        </w:rPr>
        <w:fldChar w:fldCharType="begin"/>
      </w:r>
      <w:r>
        <w:rPr>
          <w:highlight w:val="green"/>
        </w:rPr>
        <w:instrText xml:space="preserve"> XE "</w:instrText>
      </w:r>
      <w:r>
        <w:rPr>
          <w:noProof/>
          <w:highlight w:val="green"/>
        </w:rPr>
        <w:instrText>Méthode</w:instrText>
      </w:r>
      <w:r>
        <w:rPr>
          <w:highlight w:val="green"/>
        </w:rPr>
        <w:instrText>:</w:instrText>
      </w:r>
      <w:r>
        <w:rPr>
          <w:noProof/>
          <w:highlight w:val="green"/>
        </w:rPr>
        <w:instrText>– des centres de responsabilité</w:instrText>
      </w:r>
      <w:r>
        <w:rPr>
          <w:highlight w:val="green"/>
        </w:rPr>
        <w:instrText xml:space="preserve">" </w:instrText>
      </w:r>
      <w:r>
        <w:rPr>
          <w:highlight w:val="green"/>
        </w:rPr>
        <w:fldChar w:fldCharType="end"/>
      </w:r>
      <w:r>
        <w:t>.</w:t>
      </w:r>
    </w:p>
    <w:p w14:paraId="12ED9433" w14:textId="77777777" w:rsidR="005D07A6" w:rsidRDefault="00F42774">
      <w:pPr>
        <w:pStyle w:val="debutfilet"/>
      </w:pPr>
      <w:r>
        <w:t>Definition</w:t>
      </w:r>
    </w:p>
    <w:p w14:paraId="3F5B1B41" w14:textId="77777777" w:rsidR="005D07A6" w:rsidRDefault="00F42774">
      <w:pPr>
        <w:pStyle w:val="LibelleRubrique"/>
      </w:pPr>
      <w:r>
        <w:t>Définition</w:t>
      </w:r>
    </w:p>
    <w:p w14:paraId="25316555" w14:textId="77777777" w:rsidR="005D07A6" w:rsidRDefault="00F42774">
      <w:pPr>
        <w:pStyle w:val="CT"/>
      </w:pPr>
      <w:r>
        <w:t xml:space="preserve">Un </w:t>
      </w:r>
      <w:r>
        <w:rPr>
          <w:b/>
          <w:bCs/>
          <w:i/>
          <w:iCs/>
          <w:color w:val="FF0000"/>
        </w:rPr>
        <w:t>centre de responsabilité</w:t>
      </w:r>
      <w:r>
        <w:rPr>
          <w:highlight w:val="green"/>
        </w:rPr>
        <w:fldChar w:fldCharType="begin"/>
      </w:r>
      <w:r>
        <w:rPr>
          <w:highlight w:val="green"/>
        </w:rPr>
        <w:instrText xml:space="preserve"> XE "</w:instrText>
      </w:r>
      <w:r>
        <w:rPr>
          <w:noProof/>
          <w:highlight w:val="green"/>
        </w:rPr>
        <w:instrText>Centre</w:instrText>
      </w:r>
      <w:r>
        <w:rPr>
          <w:highlight w:val="green"/>
        </w:rPr>
        <w:instrText>:</w:instrText>
      </w:r>
      <w:r>
        <w:rPr>
          <w:noProof/>
          <w:highlight w:val="green"/>
        </w:rPr>
        <w:instrText>– de responsabilité</w:instrText>
      </w:r>
      <w:r>
        <w:rPr>
          <w:highlight w:val="green"/>
        </w:rPr>
        <w:instrText xml:space="preserve">" </w:instrText>
      </w:r>
      <w:r>
        <w:rPr>
          <w:highlight w:val="green"/>
        </w:rPr>
        <w:fldChar w:fldCharType="end"/>
      </w:r>
      <w:r>
        <w:t xml:space="preserve"> est une subdivision de l’entreprise construite autour de responsables (des chefs) qui détiennent une autonomie de décision.</w:t>
      </w:r>
    </w:p>
    <w:p w14:paraId="730923C0" w14:textId="77777777" w:rsidR="005D07A6" w:rsidRDefault="00F42774">
      <w:pPr>
        <w:pStyle w:val="finfilet"/>
      </w:pPr>
      <w:r>
        <w:t>Fin Definition</w:t>
      </w:r>
    </w:p>
    <w:p w14:paraId="40AD6D98" w14:textId="77777777" w:rsidR="005D07A6" w:rsidRDefault="00F42774">
      <w:pPr>
        <w:pStyle w:val="CTEspDessous"/>
      </w:pPr>
      <w:r>
        <w:t xml:space="preserve">Ceci n’est pertinent que si l’activité est homogène dans chaque centre de responsabilité (par exemple, dans l’atelier « emboutissage », il faut que la seule activité productive soit l’utilisation d’une presse à emboutir). C’est pourquoi cette méthode est aussi souvent appelée la </w:t>
      </w:r>
      <w:r>
        <w:rPr>
          <w:b/>
          <w:bCs/>
        </w:rPr>
        <w:t>méthode des sections homogènes</w:t>
      </w:r>
      <w:r>
        <w:rPr>
          <w:highlight w:val="green"/>
        </w:rPr>
        <w:fldChar w:fldCharType="begin"/>
      </w:r>
      <w:r>
        <w:rPr>
          <w:highlight w:val="green"/>
        </w:rPr>
        <w:instrText xml:space="preserve"> XE "</w:instrText>
      </w:r>
      <w:r>
        <w:rPr>
          <w:noProof/>
          <w:highlight w:val="green"/>
        </w:rPr>
        <w:instrText>Méthode</w:instrText>
      </w:r>
      <w:r>
        <w:rPr>
          <w:highlight w:val="green"/>
        </w:rPr>
        <w:instrText>:</w:instrText>
      </w:r>
      <w:r>
        <w:rPr>
          <w:noProof/>
          <w:highlight w:val="green"/>
        </w:rPr>
        <w:instrText>– des sections homogènes</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Section homogène</w:instrText>
      </w:r>
      <w:r>
        <w:rPr>
          <w:highlight w:val="green"/>
        </w:rPr>
        <w:instrText xml:space="preserve">" </w:instrText>
      </w:r>
      <w:r>
        <w:rPr>
          <w:highlight w:val="green"/>
        </w:rPr>
        <w:fldChar w:fldCharType="end"/>
      </w:r>
      <w:r>
        <w:t>.</w:t>
      </w:r>
    </w:p>
    <w:p w14:paraId="585228F9" w14:textId="77777777" w:rsidR="005D07A6" w:rsidRDefault="00F42774">
      <w:pPr>
        <w:pStyle w:val="debutfilet"/>
      </w:pPr>
      <w:r>
        <w:t>Definition</w:t>
      </w:r>
    </w:p>
    <w:p w14:paraId="62FAC09B" w14:textId="77777777" w:rsidR="005D07A6" w:rsidRDefault="00F42774">
      <w:pPr>
        <w:pStyle w:val="LibelleRubrique"/>
      </w:pPr>
      <w:r>
        <w:t>Définition</w:t>
      </w:r>
    </w:p>
    <w:p w14:paraId="48BBE694" w14:textId="77777777" w:rsidR="005D07A6" w:rsidRDefault="00F42774">
      <w:pPr>
        <w:pStyle w:val="CT"/>
      </w:pPr>
      <w:r>
        <w:t xml:space="preserve">Une </w:t>
      </w:r>
      <w:r>
        <w:rPr>
          <w:b/>
          <w:bCs/>
          <w:i/>
          <w:iCs/>
          <w:color w:val="FF0000"/>
        </w:rPr>
        <w:t>section homogène</w:t>
      </w:r>
      <w:r>
        <w:t xml:space="preserve"> est l’expression qui était utilisée dans les plans comptables 1947 et 1957 pour parler des centres d’analyse dont l’expression apparaît dans le PCG 1982.</w:t>
      </w:r>
    </w:p>
    <w:p w14:paraId="6B89A7A9" w14:textId="77777777" w:rsidR="005D07A6" w:rsidRDefault="00F42774">
      <w:pPr>
        <w:pStyle w:val="finfilet"/>
      </w:pPr>
      <w:r>
        <w:t>Fin Definition</w:t>
      </w:r>
    </w:p>
    <w:p w14:paraId="1AF1EDD1" w14:textId="77777777" w:rsidR="005D07A6" w:rsidRDefault="00F42774">
      <w:pPr>
        <w:pStyle w:val="CTEspDessous"/>
      </w:pPr>
      <w:r>
        <w:t xml:space="preserve">Dans les années 1980, une nouvelle manière de présenter les calculs de coûts complets a connu un grand succès : la </w:t>
      </w:r>
      <w:r>
        <w:rPr>
          <w:b/>
          <w:bCs/>
        </w:rPr>
        <w:t>méthode ABC</w:t>
      </w:r>
      <w:r>
        <w:rPr>
          <w:highlight w:val="green"/>
        </w:rPr>
        <w:fldChar w:fldCharType="begin"/>
      </w:r>
      <w:r>
        <w:rPr>
          <w:highlight w:val="green"/>
        </w:rPr>
        <w:instrText xml:space="preserve"> XE "</w:instrText>
      </w:r>
      <w:r>
        <w:rPr>
          <w:noProof/>
          <w:highlight w:val="green"/>
        </w:rPr>
        <w:instrText>Méthode</w:instrText>
      </w:r>
      <w:r>
        <w:rPr>
          <w:highlight w:val="green"/>
        </w:rPr>
        <w:instrText>:</w:instrText>
      </w:r>
      <w:r>
        <w:rPr>
          <w:noProof/>
          <w:highlight w:val="green"/>
        </w:rPr>
        <w:instrText>– ABC</w:instrText>
      </w:r>
      <w:r>
        <w:rPr>
          <w:highlight w:val="green"/>
        </w:rPr>
        <w:instrText xml:space="preserve">" </w:instrText>
      </w:r>
      <w:r>
        <w:rPr>
          <w:highlight w:val="green"/>
        </w:rPr>
        <w:fldChar w:fldCharType="end"/>
      </w:r>
      <w:r>
        <w:t xml:space="preserve"> (</w:t>
      </w:r>
      <w:r>
        <w:rPr>
          <w:i/>
          <w:iCs/>
        </w:rPr>
        <w:t>Activity Based Costing</w:t>
      </w:r>
      <w:r>
        <w:t xml:space="preserve"> ; comptabilité basée sur les activités). Elle se répand en France dans les années 1990, mais a pour origine la littérature anglo-saxonne. Elle s’est rapidement diffusée dans le milieu académique et a été colportée par les consultants qui l’utilisaient </w:t>
      </w:r>
      <w:r>
        <w:lastRenderedPageBreak/>
        <w:t>bien souvent comme un argument de vente pour inciter les entreprises à restructurer leurs méthodes de calcul de coûts.</w:t>
      </w:r>
    </w:p>
    <w:p w14:paraId="4E3D224C" w14:textId="77777777" w:rsidR="005D07A6" w:rsidRDefault="00F42774">
      <w:pPr>
        <w:pStyle w:val="debutfilet"/>
      </w:pPr>
      <w:r>
        <w:t>Definition</w:t>
      </w:r>
    </w:p>
    <w:p w14:paraId="1A59A05E" w14:textId="77777777" w:rsidR="005D07A6" w:rsidRDefault="00F42774">
      <w:pPr>
        <w:pStyle w:val="LibelleRubrique"/>
      </w:pPr>
      <w:r>
        <w:t>Définition</w:t>
      </w:r>
    </w:p>
    <w:p w14:paraId="7B69F90E" w14:textId="77777777" w:rsidR="005D07A6" w:rsidRDefault="00F42774">
      <w:pPr>
        <w:pStyle w:val="CT"/>
      </w:pPr>
      <w:r>
        <w:t xml:space="preserve">La </w:t>
      </w:r>
      <w:r>
        <w:rPr>
          <w:b/>
          <w:bCs/>
          <w:i/>
          <w:iCs/>
          <w:color w:val="FF0000"/>
        </w:rPr>
        <w:t>méthode ABC</w:t>
      </w:r>
      <w:r>
        <w:t xml:space="preserve"> est une méthode de calcul de coûts complets qui n’est pas issue du plan comptable français.</w:t>
      </w:r>
    </w:p>
    <w:p w14:paraId="2B849628" w14:textId="77777777" w:rsidR="005D07A6" w:rsidRDefault="00F42774">
      <w:pPr>
        <w:pStyle w:val="finfilet"/>
      </w:pPr>
      <w:r>
        <w:t>Fin Definition</w:t>
      </w:r>
    </w:p>
    <w:p w14:paraId="188150FA" w14:textId="77777777" w:rsidR="005D07A6" w:rsidRDefault="00F42774">
      <w:pPr>
        <w:pStyle w:val="CTEspDessous"/>
      </w:pPr>
      <w:r>
        <w:t>Il est important de retenir que la méthode ABC tout comme la méthode des centres d’analyse répondent aux mêmes besoins : répartir les charges indirectes sur des objets de coûts. Elles sont donc confrontées aux mêmes problèmes : certaines charges (que le plan comptable appelle charges indirectes) n’ont pas toujours de lien évident avec l’objet du calcul. Toute la difficulté consiste à trouver de bonnes clés de répartition de ces charges (que l’on appelle unités d’œuvres dans la méthode des centres d’analyse et inducteurs de coûts dans la méthode ABC).</w:t>
      </w:r>
    </w:p>
    <w:p w14:paraId="340C557F" w14:textId="77777777" w:rsidR="005D07A6" w:rsidRDefault="00F42774">
      <w:pPr>
        <w:pStyle w:val="CTEspDessous"/>
      </w:pPr>
      <w:r>
        <w:t xml:space="preserve">D’autres méthodes ont été proposées. On peut, par exemple, raisonner par équivalence, en ramenant toutes les activités à une activité de base, comme dans la </w:t>
      </w:r>
      <w:r>
        <w:rPr>
          <w:b/>
          <w:bCs/>
        </w:rPr>
        <w:t>méthode GP</w:t>
      </w:r>
      <w:r>
        <w:t xml:space="preserve"> (1 heure de travail dans l’atelier X vaut par exemple 1,2 heure de travail dans l’atelier Y), ou tous les produits à un produit de base, comme dans la </w:t>
      </w:r>
      <w:r>
        <w:rPr>
          <w:b/>
          <w:bCs/>
        </w:rPr>
        <w:t>méthode UVA</w:t>
      </w:r>
      <w:r>
        <w:rPr>
          <w:highlight w:val="green"/>
        </w:rPr>
        <w:fldChar w:fldCharType="begin"/>
      </w:r>
      <w:r>
        <w:rPr>
          <w:highlight w:val="green"/>
        </w:rPr>
        <w:instrText xml:space="preserve"> XE "</w:instrText>
      </w:r>
      <w:r>
        <w:rPr>
          <w:noProof/>
          <w:highlight w:val="green"/>
        </w:rPr>
        <w:instrText>Méthode</w:instrText>
      </w:r>
      <w:r>
        <w:rPr>
          <w:highlight w:val="green"/>
        </w:rPr>
        <w:instrText>:</w:instrText>
      </w:r>
      <w:r>
        <w:rPr>
          <w:noProof/>
          <w:highlight w:val="green"/>
        </w:rPr>
        <w:instrText>– UVA</w:instrText>
      </w:r>
      <w:r>
        <w:rPr>
          <w:highlight w:val="green"/>
        </w:rPr>
        <w:instrText xml:space="preserve">" </w:instrText>
      </w:r>
      <w:r>
        <w:rPr>
          <w:highlight w:val="green"/>
        </w:rPr>
        <w:fldChar w:fldCharType="end"/>
      </w:r>
      <w:r>
        <w:t xml:space="preserve"> fondée sur les « unités de valeur ajoutée » (la fabrication d’un produit A consomme autant de ressources que la fabrication, par exemple, de 1,2 produit B).</w:t>
      </w:r>
    </w:p>
    <w:p w14:paraId="5838B856" w14:textId="77777777" w:rsidR="005D07A6" w:rsidRDefault="00F42774">
      <w:pPr>
        <w:pStyle w:val="CTEspDessous"/>
      </w:pPr>
      <w:r>
        <w:t xml:space="preserve">Le modèle de base en coûts complets doit être par ailleurs complexifié pour tenir compte des particularités du processus de production : existence de sous-produits ou d’en-cours de production, par exemple. Il doit être également aménagé pour tenir compte de la </w:t>
      </w:r>
      <w:r>
        <w:rPr>
          <w:b/>
          <w:bCs/>
        </w:rPr>
        <w:t>sous-activité</w:t>
      </w:r>
      <w:r>
        <w:rPr>
          <w:highlight w:val="green"/>
        </w:rPr>
        <w:fldChar w:fldCharType="begin"/>
      </w:r>
      <w:r>
        <w:rPr>
          <w:highlight w:val="green"/>
        </w:rPr>
        <w:instrText xml:space="preserve"> XE "</w:instrText>
      </w:r>
      <w:r>
        <w:rPr>
          <w:noProof/>
          <w:highlight w:val="green"/>
        </w:rPr>
        <w:instrText>Sous-activité</w:instrText>
      </w:r>
      <w:r>
        <w:rPr>
          <w:highlight w:val="green"/>
        </w:rPr>
        <w:instrText xml:space="preserve">" </w:instrText>
      </w:r>
      <w:r>
        <w:rPr>
          <w:highlight w:val="green"/>
        </w:rPr>
        <w:fldChar w:fldCharType="end"/>
      </w:r>
      <w:r>
        <w:t xml:space="preserve"> ou de la </w:t>
      </w:r>
      <w:r>
        <w:rPr>
          <w:b/>
          <w:bCs/>
        </w:rPr>
        <w:t>suractivité</w:t>
      </w:r>
      <w:r>
        <w:rPr>
          <w:highlight w:val="green"/>
        </w:rPr>
        <w:fldChar w:fldCharType="begin"/>
      </w:r>
      <w:r>
        <w:rPr>
          <w:highlight w:val="green"/>
        </w:rPr>
        <w:instrText xml:space="preserve"> XE "</w:instrText>
      </w:r>
      <w:r>
        <w:rPr>
          <w:noProof/>
          <w:highlight w:val="green"/>
        </w:rPr>
        <w:instrText>Suractivité</w:instrText>
      </w:r>
      <w:r>
        <w:rPr>
          <w:highlight w:val="green"/>
        </w:rPr>
        <w:instrText xml:space="preserve">" </w:instrText>
      </w:r>
      <w:r>
        <w:rPr>
          <w:highlight w:val="green"/>
        </w:rPr>
        <w:fldChar w:fldCharType="end"/>
      </w:r>
      <w:r>
        <w:t xml:space="preserve"> : on obtient ainsi </w:t>
      </w:r>
      <w:r>
        <w:rPr>
          <w:b/>
          <w:bCs/>
        </w:rPr>
        <w:t>la méthode de l’imputation rationnelle</w:t>
      </w:r>
      <w:r>
        <w:rPr>
          <w:highlight w:val="green"/>
        </w:rPr>
        <w:fldChar w:fldCharType="begin"/>
      </w:r>
      <w:r>
        <w:rPr>
          <w:highlight w:val="green"/>
        </w:rPr>
        <w:instrText xml:space="preserve"> XE "</w:instrText>
      </w:r>
      <w:r>
        <w:rPr>
          <w:noProof/>
          <w:highlight w:val="green"/>
        </w:rPr>
        <w:instrText>Méthode</w:instrText>
      </w:r>
      <w:r>
        <w:rPr>
          <w:highlight w:val="green"/>
        </w:rPr>
        <w:instrText>:</w:instrText>
      </w:r>
      <w:r>
        <w:rPr>
          <w:noProof/>
          <w:highlight w:val="green"/>
        </w:rPr>
        <w:instrText>– de l’imputation rationnelle</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IRCF (imputation rationnelle des coûts fixes)</w:instrText>
      </w:r>
      <w:r>
        <w:rPr>
          <w:highlight w:val="green"/>
        </w:rPr>
        <w:instrText xml:space="preserve">" </w:instrText>
      </w:r>
      <w:r>
        <w:rPr>
          <w:highlight w:val="green"/>
        </w:rPr>
        <w:fldChar w:fldCharType="end"/>
      </w:r>
      <w:r>
        <w:t>.</w:t>
      </w:r>
    </w:p>
    <w:p w14:paraId="130494DC" w14:textId="77777777" w:rsidR="005D07A6" w:rsidRDefault="00F42774">
      <w:pPr>
        <w:pStyle w:val="T4"/>
      </w:pPr>
      <w:r>
        <w:t>III.</w:t>
      </w:r>
      <w:r>
        <w:tab/>
        <w:t>Les méthodes de coûts partiels</w:t>
      </w:r>
    </w:p>
    <w:p w14:paraId="31CF78B1" w14:textId="77777777" w:rsidR="005D07A6" w:rsidRDefault="00F42774">
      <w:pPr>
        <w:pStyle w:val="CTEspDessous"/>
      </w:pPr>
      <w:r>
        <w:t xml:space="preserve">Dans les méthodes de coûts partiels, en revanche, on renonce à imputer certaines charges à cause du caractère arbitraire de cette imputation. On ne s’intéresse, par exemple, qu’aux coûts variables (les Anglo-Saxons parlent de </w:t>
      </w:r>
      <w:r>
        <w:rPr>
          <w:b/>
          <w:bCs/>
          <w:i/>
          <w:iCs/>
        </w:rPr>
        <w:t>direct costing</w:t>
      </w:r>
      <w:r>
        <w:t xml:space="preserve">, par opposition au </w:t>
      </w:r>
      <w:r>
        <w:rPr>
          <w:b/>
          <w:bCs/>
          <w:i/>
          <w:iCs/>
        </w:rPr>
        <w:t>full costing</w:t>
      </w:r>
      <w:r>
        <w:rPr>
          <w:highlight w:val="green"/>
        </w:rPr>
        <w:fldChar w:fldCharType="begin"/>
      </w:r>
      <w:r>
        <w:rPr>
          <w:highlight w:val="green"/>
        </w:rPr>
        <w:instrText xml:space="preserve"> XE "</w:instrText>
      </w:r>
      <w:r>
        <w:rPr>
          <w:noProof/>
          <w:highlight w:val="green"/>
        </w:rPr>
        <w:instrText>Méthode</w:instrText>
      </w:r>
      <w:r>
        <w:rPr>
          <w:highlight w:val="green"/>
        </w:rPr>
        <w:instrText>:</w:instrText>
      </w:r>
      <w:r>
        <w:rPr>
          <w:noProof/>
          <w:highlight w:val="green"/>
        </w:rPr>
        <w:instrText>– du full costing</w:instrText>
      </w:r>
      <w:r>
        <w:rPr>
          <w:highlight w:val="green"/>
        </w:rPr>
        <w:instrText xml:space="preserve">" </w:instrText>
      </w:r>
      <w:r>
        <w:rPr>
          <w:highlight w:val="green"/>
        </w:rPr>
        <w:fldChar w:fldCharType="end"/>
      </w:r>
      <w:r>
        <w:t xml:space="preserve">). Cela permet de calculer des marges sur coûts variables, très utiles pour la gestion opérationnelle. Une version plus élaborée du </w:t>
      </w:r>
      <w:r>
        <w:rPr>
          <w:i/>
          <w:iCs/>
        </w:rPr>
        <w:t>direct costing</w:t>
      </w:r>
      <w:r>
        <w:t xml:space="preserve">, appelée </w:t>
      </w:r>
      <w:r>
        <w:rPr>
          <w:b/>
          <w:bCs/>
        </w:rPr>
        <w:t xml:space="preserve">« méthode du </w:t>
      </w:r>
      <w:r>
        <w:rPr>
          <w:b/>
          <w:bCs/>
          <w:i/>
          <w:iCs/>
        </w:rPr>
        <w:t>direct costing</w:t>
      </w:r>
      <w:r>
        <w:rPr>
          <w:b/>
          <w:bCs/>
        </w:rPr>
        <w:t xml:space="preserve"> évolué</w:t>
      </w:r>
      <w:r>
        <w:rPr>
          <w:b/>
          <w:bCs/>
          <w:highlight w:val="green"/>
        </w:rPr>
        <w:fldChar w:fldCharType="begin"/>
      </w:r>
      <w:r>
        <w:rPr>
          <w:b/>
          <w:bCs/>
          <w:highlight w:val="green"/>
        </w:rPr>
        <w:instrText xml:space="preserve"> XE "</w:instrText>
      </w:r>
      <w:r>
        <w:rPr>
          <w:b/>
          <w:bCs/>
          <w:noProof/>
          <w:highlight w:val="green"/>
        </w:rPr>
        <w:instrText>Méthode</w:instrText>
      </w:r>
      <w:r>
        <w:rPr>
          <w:b/>
          <w:bCs/>
          <w:highlight w:val="green"/>
        </w:rPr>
        <w:instrText>:</w:instrText>
      </w:r>
      <w:r>
        <w:rPr>
          <w:b/>
          <w:bCs/>
          <w:noProof/>
          <w:highlight w:val="green"/>
        </w:rPr>
        <w:instrText>– du direct costing évolué</w:instrText>
      </w:r>
      <w:r>
        <w:rPr>
          <w:b/>
          <w:bCs/>
          <w:highlight w:val="green"/>
        </w:rPr>
        <w:instrText xml:space="preserve">" </w:instrText>
      </w:r>
      <w:r>
        <w:rPr>
          <w:b/>
          <w:bCs/>
          <w:highlight w:val="green"/>
        </w:rPr>
        <w:fldChar w:fldCharType="end"/>
      </w:r>
      <w:r>
        <w:rPr>
          <w:b/>
          <w:bCs/>
        </w:rPr>
        <w:t> »</w:t>
      </w:r>
      <w:r>
        <w:t xml:space="preserve"> ou </w:t>
      </w:r>
      <w:r>
        <w:rPr>
          <w:b/>
          <w:bCs/>
        </w:rPr>
        <w:t>« méthode des coûts spécifiques</w:t>
      </w:r>
      <w:r>
        <w:rPr>
          <w:highlight w:val="green"/>
        </w:rPr>
        <w:fldChar w:fldCharType="begin"/>
      </w:r>
      <w:r>
        <w:rPr>
          <w:highlight w:val="green"/>
        </w:rPr>
        <w:instrText xml:space="preserve"> XE "</w:instrText>
      </w:r>
      <w:r>
        <w:rPr>
          <w:noProof/>
          <w:highlight w:val="green"/>
        </w:rPr>
        <w:instrText>Méthode</w:instrText>
      </w:r>
      <w:r>
        <w:rPr>
          <w:highlight w:val="green"/>
        </w:rPr>
        <w:instrText>:</w:instrText>
      </w:r>
      <w:r>
        <w:rPr>
          <w:noProof/>
          <w:highlight w:val="green"/>
        </w:rPr>
        <w:instrText>– des coûts spécifiques</w:instrText>
      </w:r>
      <w:r>
        <w:rPr>
          <w:highlight w:val="green"/>
        </w:rPr>
        <w:instrText xml:space="preserve">" </w:instrText>
      </w:r>
      <w:r>
        <w:rPr>
          <w:highlight w:val="green"/>
        </w:rPr>
        <w:fldChar w:fldCharType="end"/>
      </w:r>
      <w:r>
        <w:rPr>
          <w:b/>
          <w:bCs/>
        </w:rPr>
        <w:t> »</w:t>
      </w:r>
      <w:r>
        <w:t>, repose sur l’incorporation de trois sur les quatre grandes catégories de charges (seules les charges indirectes fixes ne sont pas imputées) et sur l’analyse de deux niveaux de marges : sur coûts variables et sur coûts spécifiques.</w:t>
      </w:r>
    </w:p>
    <w:p w14:paraId="7F55DDB0" w14:textId="77777777" w:rsidR="005D07A6" w:rsidRDefault="00F42774">
      <w:pPr>
        <w:pStyle w:val="CT"/>
      </w:pPr>
      <w:r>
        <w:t>Il importe absolument de bien comprendre que ces différentes « méthodes » ne sont distinguées que pour des raisons pédagogiques. Il vaudrait mieux parler d’« approches » ou de « procédures ». Dans la pratique, le système de comptabilité de gestion d’une entreprise doit pouvoir produire plusieurs calculs de coûts en fonction des besoins qui ne sont pas exclusifs, par exemple, pour simplifier, des coûts complets pour évaluer les stocks ET des coûts partiels pour pouvoir prendre certaines décisions de gestion (c’est « ET » et non pas « OU » exclusif). Pour prendre un exemple très simple et en ne retenant que les deux catégories principales de charges, pour atteindre ce double objectif, généralement les calculs se font en deux temps. Dans un premier temps, on ne prend en considération que les charges opérationnelles, pour pouvoir calculer des coûts et des marges variables, et faire de la gestion prévisionnelle. Puis, dans un second temps, on réincorpore les charges de structure pour avoir des coûts complets et évaluer les stocks, comme l’indique le schéma ci-après :</w:t>
      </w:r>
    </w:p>
    <w:p w14:paraId="1C269C68" w14:textId="77777777" w:rsidR="005D07A6" w:rsidRDefault="00F42774">
      <w:pPr>
        <w:pStyle w:val="CT"/>
        <w:jc w:val="center"/>
      </w:pPr>
      <w:r>
        <w:rPr>
          <w:noProof/>
        </w:rPr>
        <w:lastRenderedPageBreak/>
        <w:drawing>
          <wp:inline distT="0" distB="0" distL="0" distR="0" wp14:anchorId="478519F1" wp14:editId="58411707">
            <wp:extent cx="4298053" cy="3529890"/>
            <wp:effectExtent l="0" t="0" r="7620" b="0"/>
            <wp:docPr id="2" name="Image 2" descr="Pas de visualisation pour [UE202526_433_S1_fichiers/UE121S1_023.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s de visualisation pour [UE202526_433_S1_fichiers/UE121S1_023.png]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98053" cy="3529890"/>
                    </a:xfrm>
                    <a:prstGeom prst="rect">
                      <a:avLst/>
                    </a:prstGeom>
                    <a:noFill/>
                    <a:ln>
                      <a:noFill/>
                    </a:ln>
                  </pic:spPr>
                </pic:pic>
              </a:graphicData>
            </a:graphic>
          </wp:inline>
        </w:drawing>
      </w:r>
      <w:r>
        <w:t>&lt;image&gt;UE121S1_023.png&lt;/image&gt;</w:t>
      </w:r>
    </w:p>
    <w:p w14:paraId="104AF1D0" w14:textId="77777777" w:rsidR="005D07A6" w:rsidRDefault="00F42774">
      <w:pPr>
        <w:pStyle w:val="T3"/>
      </w:pPr>
      <w:r>
        <w:t>section 5.</w:t>
      </w:r>
      <w:r>
        <w:tab/>
        <w:t>L’articulation avec la comptabilité financière</w:t>
      </w:r>
    </w:p>
    <w:p w14:paraId="262B7C99" w14:textId="77777777" w:rsidR="005D07A6" w:rsidRDefault="00F42774">
      <w:pPr>
        <w:pStyle w:val="T4"/>
      </w:pPr>
      <w:r>
        <w:t>I.</w:t>
      </w:r>
      <w:r>
        <w:tab/>
        <w:t>Le système comptable</w:t>
      </w:r>
    </w:p>
    <w:p w14:paraId="6D57D0B9" w14:textId="77777777" w:rsidR="005D07A6" w:rsidRDefault="00F42774">
      <w:pPr>
        <w:pStyle w:val="CTEspDessous"/>
      </w:pPr>
      <w:r>
        <w:t>Pour la plupart des entreprises (sauf les très petites qui peuvent bénéficier d’un régime forfaitaire), la comptabilité financière est une obligation légale, principalement pour des raisons fiscales. Le système comptable est donc, au départ, structuré en fonction des besoins de la comptabilité financière et les charges sont enregistrées par nature en classe 6. À partir d’un certain degré de complexité, lié à la taille et à la multi-activité, la comptabilité de gestion vient se surajouter, pour pouvoir évaluer les stocks et surtout pour les besoins de la gestion. Il faut donc retraiter, ventiler les charges, essentiellement par produits.</w:t>
      </w:r>
    </w:p>
    <w:p w14:paraId="5CEF2C8F" w14:textId="77777777" w:rsidR="005D07A6" w:rsidRDefault="00F42774">
      <w:pPr>
        <w:pStyle w:val="CTEspDessous"/>
      </w:pPr>
      <w:r>
        <w:t>Ceci peut se faire de plusieurs manières.</w:t>
      </w:r>
    </w:p>
    <w:p w14:paraId="5E8D64C1" w14:textId="77777777" w:rsidR="005D07A6" w:rsidRDefault="00F42774">
      <w:pPr>
        <w:pStyle w:val="CTEspDessous"/>
      </w:pPr>
      <w:r>
        <w:t xml:space="preserve">La « comptabilité » de gestion peut ne pas être une véritable comptabilité, mais se limiter à un </w:t>
      </w:r>
      <w:r>
        <w:rPr>
          <w:b/>
          <w:bCs/>
        </w:rPr>
        <w:t>calcul extracomptable des coûts</w:t>
      </w:r>
      <w:r>
        <w:t>. C’est ce que l’on fait souvent au plan pédagogique, en présentant des tableaux de calcul des coûts, avec les produits en colonnes et les éléments de coût en lignes. On obtient les coûts par sommation en colonnes. Rappelons qu’un système comptable est caractérisé par l’enregistrement systématique des opérations dans un ensemble de comptes, en utilisant un modèle formel, comme le système en partie double, permettant d’obtenir une information en consultant le SOLDE d’un compte. Si je veux savoir combien me doit un client, je consulte son solde. Un calcul (ou « traitement ») extracomptable s’effectue par un autre moyen, non comptable. Par exemple, le passage du bénéfice comptable (déterminé, lui, de façon comptable) au bénéfice fiscal, pour tenir compte de certaines déductions ou réintégrations, s’effectue de façon extracomptable.</w:t>
      </w:r>
    </w:p>
    <w:p w14:paraId="715F3526" w14:textId="77777777" w:rsidR="005D07A6" w:rsidRDefault="00F42774">
      <w:pPr>
        <w:pStyle w:val="CTEspDessous"/>
      </w:pPr>
      <w:r>
        <w:t xml:space="preserve">La </w:t>
      </w:r>
      <w:r>
        <w:rPr>
          <w:b/>
          <w:bCs/>
        </w:rPr>
        <w:t>comptabilité financière</w:t>
      </w:r>
      <w:r>
        <w:rPr>
          <w:highlight w:val="green"/>
        </w:rPr>
        <w:fldChar w:fldCharType="begin"/>
      </w:r>
      <w:r>
        <w:rPr>
          <w:highlight w:val="green"/>
        </w:rPr>
        <w:instrText xml:space="preserve"> XE "</w:instrText>
      </w:r>
      <w:r>
        <w:rPr>
          <w:noProof/>
          <w:highlight w:val="green"/>
        </w:rPr>
        <w:instrText>Comptabilité</w:instrText>
      </w:r>
      <w:r>
        <w:rPr>
          <w:highlight w:val="green"/>
        </w:rPr>
        <w:instrText>:</w:instrText>
      </w:r>
      <w:r>
        <w:rPr>
          <w:noProof/>
          <w:highlight w:val="green"/>
        </w:rPr>
        <w:instrText>– financière</w:instrText>
      </w:r>
      <w:r>
        <w:rPr>
          <w:highlight w:val="green"/>
        </w:rPr>
        <w:instrText xml:space="preserve">" </w:instrText>
      </w:r>
      <w:r>
        <w:rPr>
          <w:highlight w:val="green"/>
        </w:rPr>
        <w:fldChar w:fldCharType="end"/>
      </w:r>
      <w:r>
        <w:t xml:space="preserve"> peut être aménagée pour les besoins de la comptabilité de gestion, par exemple </w:t>
      </w:r>
      <w:r>
        <w:rPr>
          <w:b/>
          <w:bCs/>
        </w:rPr>
        <w:t>en ouvrant des sous-comptes par produits</w:t>
      </w:r>
      <w:r>
        <w:t xml:space="preserve">. Si le compte « Charges de personnel » coiffe deux sous-comptes, « charges de personnel pour fabriquer A » et « charges de personnel pour fabriquer B », </w:t>
      </w:r>
      <w:r>
        <w:lastRenderedPageBreak/>
        <w:t>et si on fait de même pour tous les comptes de gestion, on peut déterminer de façon comptable, par virement, les coûts et les résultats par produits. En revanche, les comptes de gestion se retrouveront soldés et il faudra établir le compte de résultat de la comptabilité financière… de façon extracomptable !</w:t>
      </w:r>
    </w:p>
    <w:p w14:paraId="6C86E85D" w14:textId="77777777" w:rsidR="005D07A6" w:rsidRDefault="00F42774">
      <w:pPr>
        <w:pStyle w:val="CTEspDessous"/>
      </w:pPr>
      <w:r>
        <w:rPr>
          <w:b/>
          <w:bCs/>
        </w:rPr>
        <w:t>La comptabilité de gestion</w:t>
      </w:r>
      <w:r>
        <w:rPr>
          <w:b/>
          <w:bCs/>
          <w:highlight w:val="green"/>
        </w:rPr>
        <w:fldChar w:fldCharType="begin"/>
      </w:r>
      <w:r>
        <w:rPr>
          <w:b/>
          <w:bCs/>
          <w:highlight w:val="green"/>
        </w:rPr>
        <w:instrText xml:space="preserve"> XE "</w:instrText>
      </w:r>
      <w:r>
        <w:rPr>
          <w:b/>
          <w:bCs/>
          <w:noProof/>
          <w:highlight w:val="green"/>
        </w:rPr>
        <w:instrText>Comptabilité</w:instrText>
      </w:r>
      <w:r>
        <w:rPr>
          <w:b/>
          <w:bCs/>
          <w:highlight w:val="green"/>
        </w:rPr>
        <w:instrText>:</w:instrText>
      </w:r>
      <w:r>
        <w:rPr>
          <w:b/>
          <w:bCs/>
          <w:noProof/>
          <w:highlight w:val="green"/>
        </w:rPr>
        <w:instrText>– de gestion</w:instrText>
      </w:r>
      <w:r>
        <w:rPr>
          <w:b/>
          <w:bCs/>
          <w:highlight w:val="green"/>
        </w:rPr>
        <w:instrText xml:space="preserve">" </w:instrText>
      </w:r>
      <w:r>
        <w:rPr>
          <w:b/>
          <w:bCs/>
          <w:highlight w:val="green"/>
        </w:rPr>
        <w:fldChar w:fldCharType="end"/>
      </w:r>
      <w:r>
        <w:rPr>
          <w:b/>
          <w:bCs/>
        </w:rPr>
        <w:t xml:space="preserve"> peut être tenue de façon autonome</w:t>
      </w:r>
      <w:r>
        <w:t>, dans un système en partie double, fonctionnant en parallèle de la comptabilité financière (ou comptabilité générale). Le « passage » des informations de la comptabilité financière vers la comptabilité de gestion s’effectue alors en utilisant des comptes « réfléchis ». Par exemple, en fin de mois, au moment de la paie, en comptabilité financière, on débite « charges de personnel » par le crédit de « banque » ; et en comptabilité de gestion, on débite « coût de production des produits A » par le crédit de « charges de personnel réfléchies ». Les coûts sont donnés par les soldes des comptes de coûts.</w:t>
      </w:r>
    </w:p>
    <w:p w14:paraId="0E8D37D7" w14:textId="77777777" w:rsidR="005D07A6" w:rsidRDefault="00F42774">
      <w:pPr>
        <w:pStyle w:val="CTEspDessous"/>
      </w:pPr>
      <w:r>
        <w:t>La notion de réflexion est utilisée ici de façon métaphorique, par référence à l’image virtuelle d’un objet que l’on voit de façon inversée dans un miroir : l’inscription au débit (à gauche) du compte de la classe 6 est réfléchie au crédit (à droite) du compte correspondant. Notons que la technique de la réflexion peut être mise au service du suivi budgétaire si l’on fait jouer aux comptes réfléchis le rôle de « comptes d’engagement budgétaire ». Si le compte « charges de personnel réfléchies », transformé en « charges de personnel budgétées », est débité en début de période du budget alloué, son solde va représenter à tout moment la fraction du budget qui n’a pas encore été consommée et qui reste disponible, et en fin de période, un écart au sens du contrôle budgétaire.</w:t>
      </w:r>
    </w:p>
    <w:p w14:paraId="5AA3F6EA" w14:textId="77777777" w:rsidR="005D07A6" w:rsidRDefault="00F42774">
      <w:pPr>
        <w:pStyle w:val="CTEspDessous"/>
      </w:pPr>
      <w:r>
        <w:t xml:space="preserve">Dans les </w:t>
      </w:r>
      <w:r>
        <w:rPr>
          <w:b/>
          <w:bCs/>
        </w:rPr>
        <w:t>systèmes informatisés « intégrés »</w:t>
      </w:r>
      <w:r>
        <w:t xml:space="preserve"> actuels, les informations sont enregistrées dans une base de données multidimensionnelle contenant toutes les informations nécessaires à la production des états de la comptabilité financière ET de la comptabilité de gestion. Par exemple, pour enregistrer une facture, on saisira le numéro de la classe 6 (le « débit » classique), le compte jouant en contrepartie (le compte du fournisseur par exemple, le « crédit » classique), </w:t>
      </w:r>
      <w:r>
        <w:rPr>
          <w:b/>
          <w:bCs/>
        </w:rPr>
        <w:t>mais aussi</w:t>
      </w:r>
      <w:r>
        <w:t xml:space="preserve"> le code par destination (le produit pour une charge directe, le service pour une charge indirecte, ce que les informaticiens tendent à appeler le « trébit » analytique). Dans un tel système, en fait, on n’est plus dans un système en partie double, mais dans un système multidimensionnel, en « partie multiple », il n’y a plus de grand livre mais un « cube » informationnel dont on extrait les informations en les présentant dans un format traditionnel (bilan et compte de résultat pour la comptabilité financière, tableaux de coûts pour la comptabilité de gestion).</w:t>
      </w:r>
    </w:p>
    <w:p w14:paraId="5F44579B" w14:textId="77777777" w:rsidR="005D07A6" w:rsidRDefault="00F42774">
      <w:pPr>
        <w:pStyle w:val="CTEspDessous"/>
      </w:pPr>
      <w:r>
        <w:t>On peut enfin décentraliser la comptabilité au niveau analytique, et obtenir la comptabilité financière par « consolidation », en utilisant les mêmes techniques que pour obtenir les comptes consolidés d’un groupe à partir des comptes des filiales. Ceci peut surtout être pratiqué quand l’organisation du contrôle de gestion se fait par centres de profit et relève d’une conception élargie de la consolidation, qui peut s’effectuer à différents niveaux : centres de profit de base, divisions, entités légales, sous-groupes sectoriels, holdings intermédiaires, groupe. À chaque niveau, il faut « éliminer » les opérations internes du niveau inférieur.</w:t>
      </w:r>
    </w:p>
    <w:p w14:paraId="5BE1C506" w14:textId="77777777" w:rsidR="005D07A6" w:rsidRDefault="00F42774">
      <w:pPr>
        <w:pStyle w:val="CTEspDessous"/>
      </w:pPr>
      <w:r>
        <w:t>Certains logiciels permettent de paramétrer les différents niveaux, croisés avec plusieurs axes analytiques (produits, marchés). On intègre ainsi, à partir de la même information de base, production des comptes sociaux des filiales et comptes consolidés, d’une part, production d’informations analytiques et reporting, d’autre part : ce sont les SUIG (systèmes unifiés d’information groupe).</w:t>
      </w:r>
    </w:p>
    <w:p w14:paraId="7F5070B6" w14:textId="77777777" w:rsidR="005D07A6" w:rsidRDefault="00F42774">
      <w:pPr>
        <w:pStyle w:val="T4"/>
      </w:pPr>
      <w:r>
        <w:t>II.</w:t>
      </w:r>
      <w:r>
        <w:tab/>
        <w:t>L’incorporation des charges</w:t>
      </w:r>
    </w:p>
    <w:p w14:paraId="4C00E7C8" w14:textId="77777777" w:rsidR="005D07A6" w:rsidRDefault="00F42774">
      <w:pPr>
        <w:pStyle w:val="CTEspDessous"/>
      </w:pPr>
      <w:r>
        <w:t xml:space="preserve">En principe, </w:t>
      </w:r>
      <w:r>
        <w:rPr>
          <w:b/>
          <w:bCs/>
        </w:rPr>
        <w:t>les charges (classe 6 du PCG)</w:t>
      </w:r>
      <w:r>
        <w:t xml:space="preserve"> sont reclassées par « objets de coûts ». Mais le passage n’est pas automatique : certaines charges sont jugées « non incorporables » et ne sont donc pas incorporées aux coûts.</w:t>
      </w:r>
    </w:p>
    <w:p w14:paraId="59C8D2A0" w14:textId="77777777" w:rsidR="005D07A6" w:rsidRDefault="00F42774">
      <w:pPr>
        <w:pStyle w:val="CTEspDessous"/>
      </w:pPr>
      <w:r>
        <w:lastRenderedPageBreak/>
        <w:t>Inversement, certains coûts ne sont pas comptabilisés en charge en comptabilité financière, mais sont incorporés en comptabilité de gestion : ce sont les charges « supplétives ».</w:t>
      </w:r>
    </w:p>
    <w:p w14:paraId="08451E58" w14:textId="77777777" w:rsidR="005D07A6" w:rsidRDefault="00F42774">
      <w:pPr>
        <w:pStyle w:val="CTEspDessous"/>
      </w:pPr>
      <w:r>
        <w:t>Ainsi, les différences entre les montants incorporés au calcul des coûts et ceux de la comptabilité financière représentent les « </w:t>
      </w:r>
      <w:r>
        <w:rPr>
          <w:b/>
          <w:bCs/>
        </w:rPr>
        <w:t>différences d’incorporation</w:t>
      </w:r>
      <w:r>
        <w:t> »</w:t>
      </w:r>
      <w:r>
        <w:rPr>
          <w:highlight w:val="green"/>
        </w:rPr>
        <w:fldChar w:fldCharType="begin"/>
      </w:r>
      <w:r>
        <w:rPr>
          <w:highlight w:val="green"/>
        </w:rPr>
        <w:instrText xml:space="preserve"> XE "</w:instrText>
      </w:r>
      <w:r>
        <w:rPr>
          <w:noProof/>
          <w:highlight w:val="green"/>
        </w:rPr>
        <w:instrText>Différence</w:instrText>
      </w:r>
      <w:r>
        <w:rPr>
          <w:highlight w:val="green"/>
        </w:rPr>
        <w:instrText>:</w:instrText>
      </w:r>
      <w:r>
        <w:rPr>
          <w:noProof/>
          <w:highlight w:val="green"/>
        </w:rPr>
        <w:instrText>– d’incorporation</w:instrText>
      </w:r>
      <w:r>
        <w:rPr>
          <w:highlight w:val="green"/>
        </w:rPr>
        <w:instrText xml:space="preserve">" </w:instrText>
      </w:r>
      <w:r>
        <w:rPr>
          <w:highlight w:val="green"/>
        </w:rPr>
        <w:fldChar w:fldCharType="end"/>
      </w:r>
      <w:r>
        <w:t>.</w:t>
      </w:r>
    </w:p>
    <w:p w14:paraId="5EA9BDC1" w14:textId="77777777" w:rsidR="005D07A6" w:rsidRDefault="00F42774">
      <w:pPr>
        <w:pStyle w:val="T5"/>
      </w:pPr>
      <w:r>
        <w:t>A.</w:t>
      </w:r>
      <w:r>
        <w:tab/>
        <w:t>les charges non incorporables</w:t>
      </w:r>
    </w:p>
    <w:p w14:paraId="30E18043" w14:textId="77777777" w:rsidR="005D07A6" w:rsidRDefault="00F42774">
      <w:pPr>
        <w:pStyle w:val="debutfilet"/>
      </w:pPr>
      <w:r>
        <w:t>Definition</w:t>
      </w:r>
    </w:p>
    <w:p w14:paraId="56025A70" w14:textId="77777777" w:rsidR="005D07A6" w:rsidRDefault="00F42774">
      <w:pPr>
        <w:pStyle w:val="LibelleRubrique"/>
      </w:pPr>
      <w:r>
        <w:t>Définition</w:t>
      </w:r>
    </w:p>
    <w:p w14:paraId="33545B32" w14:textId="77777777" w:rsidR="005D07A6" w:rsidRDefault="00F42774">
      <w:pPr>
        <w:pStyle w:val="CT"/>
      </w:pPr>
      <w:r>
        <w:t xml:space="preserve">Les </w:t>
      </w:r>
      <w:r>
        <w:rPr>
          <w:b/>
          <w:bCs/>
          <w:i/>
          <w:iCs/>
          <w:color w:val="FF0000"/>
        </w:rPr>
        <w:t>charges non incorporables</w:t>
      </w:r>
      <w:r>
        <w:rPr>
          <w:highlight w:val="green"/>
        </w:rPr>
        <w:fldChar w:fldCharType="begin"/>
      </w:r>
      <w:r>
        <w:rPr>
          <w:highlight w:val="green"/>
        </w:rPr>
        <w:instrText xml:space="preserve"> XE "</w:instrText>
      </w:r>
      <w:r>
        <w:rPr>
          <w:noProof/>
          <w:highlight w:val="green"/>
        </w:rPr>
        <w:instrText>Charge</w:instrText>
      </w:r>
      <w:r>
        <w:rPr>
          <w:highlight w:val="green"/>
        </w:rPr>
        <w:instrText>:</w:instrText>
      </w:r>
      <w:r>
        <w:rPr>
          <w:noProof/>
          <w:highlight w:val="green"/>
        </w:rPr>
        <w:instrText>– non incorporable</w:instrText>
      </w:r>
      <w:r>
        <w:rPr>
          <w:highlight w:val="green"/>
        </w:rPr>
        <w:instrText xml:space="preserve">" </w:instrText>
      </w:r>
      <w:r>
        <w:rPr>
          <w:highlight w:val="green"/>
        </w:rPr>
        <w:fldChar w:fldCharType="end"/>
      </w:r>
      <w:r>
        <w:t xml:space="preserve"> sont des charges qui sont prises en compte dans la comptabilité financière, mais qui sont ignorées dans la comptabilité analytique.</w:t>
      </w:r>
    </w:p>
    <w:p w14:paraId="463B6534" w14:textId="77777777" w:rsidR="005D07A6" w:rsidRDefault="00F42774">
      <w:pPr>
        <w:pStyle w:val="finfilet"/>
      </w:pPr>
      <w:r>
        <w:t>Fin Definition</w:t>
      </w:r>
    </w:p>
    <w:p w14:paraId="6FA66623" w14:textId="77777777" w:rsidR="005D07A6" w:rsidRDefault="00F42774">
      <w:pPr>
        <w:pStyle w:val="CTEspDessous"/>
      </w:pPr>
      <w:r>
        <w:t>L’intérêt de calculer des coûts est de pouvoir les suivre dans le temps, pour que les gestionnaires soient alertés en cas de « dérapage ». Si le coût de production s’envole, c’est peut-être, par exemple, que les rendements se détériorent dans tel atelier. Pour que cette comparaison dans le temps soit possible, il ne faut incorporer que les charges liées économiquement au processus de production, traduisant une consommation nécessaire des ressources, et donc isoler les éléments exceptionnels, hors exploitation, ou comptabilisés uniquement pour des raisons fiscales par exemple. Ainsi, certaines provisions ou certains amortissements dérogatoires, déductibles fiscalement, sont comptabilisés en charge dans la classe 6, mais ne correspondent pas à une consommation économique de ressources sur la période : il vaut mieux ne pas les incorporer.</w:t>
      </w:r>
    </w:p>
    <w:p w14:paraId="5DA93C48" w14:textId="77777777" w:rsidR="005D07A6" w:rsidRDefault="00F42774">
      <w:pPr>
        <w:pStyle w:val="T5"/>
      </w:pPr>
      <w:r>
        <w:t>B.</w:t>
      </w:r>
      <w:r>
        <w:tab/>
        <w:t>les charges supplétives</w:t>
      </w:r>
    </w:p>
    <w:p w14:paraId="407A81D4" w14:textId="77777777" w:rsidR="005D07A6" w:rsidRDefault="00F42774">
      <w:pPr>
        <w:pStyle w:val="debutfilet"/>
      </w:pPr>
      <w:r>
        <w:t>Definition</w:t>
      </w:r>
    </w:p>
    <w:p w14:paraId="36D37C88" w14:textId="77777777" w:rsidR="005D07A6" w:rsidRDefault="00F42774">
      <w:pPr>
        <w:pStyle w:val="LibelleRubrique"/>
      </w:pPr>
      <w:r>
        <w:t>Définition</w:t>
      </w:r>
    </w:p>
    <w:p w14:paraId="6A5D3110" w14:textId="77777777" w:rsidR="005D07A6" w:rsidRDefault="00F42774">
      <w:pPr>
        <w:pStyle w:val="CT"/>
      </w:pPr>
      <w:r>
        <w:t xml:space="preserve">Les </w:t>
      </w:r>
      <w:r>
        <w:rPr>
          <w:b/>
          <w:bCs/>
          <w:i/>
          <w:iCs/>
          <w:color w:val="FF0000"/>
        </w:rPr>
        <w:t>charges supplétives</w:t>
      </w:r>
      <w:r>
        <w:rPr>
          <w:highlight w:val="green"/>
        </w:rPr>
        <w:fldChar w:fldCharType="begin"/>
      </w:r>
      <w:r>
        <w:rPr>
          <w:highlight w:val="green"/>
        </w:rPr>
        <w:instrText xml:space="preserve"> XE "</w:instrText>
      </w:r>
      <w:r>
        <w:rPr>
          <w:noProof/>
          <w:highlight w:val="green"/>
        </w:rPr>
        <w:instrText>Charge</w:instrText>
      </w:r>
      <w:r>
        <w:rPr>
          <w:highlight w:val="green"/>
        </w:rPr>
        <w:instrText>:</w:instrText>
      </w:r>
      <w:r>
        <w:rPr>
          <w:noProof/>
          <w:highlight w:val="green"/>
        </w:rPr>
        <w:instrText>– supplétive</w:instrText>
      </w:r>
      <w:r>
        <w:rPr>
          <w:highlight w:val="green"/>
        </w:rPr>
        <w:instrText xml:space="preserve">" </w:instrText>
      </w:r>
      <w:r>
        <w:rPr>
          <w:highlight w:val="green"/>
        </w:rPr>
        <w:fldChar w:fldCharType="end"/>
      </w:r>
      <w:r>
        <w:t xml:space="preserve"> sont des charges qui ne sont pas prises en compte dans la comptabilité financière, mais qui sont intégrées dans les calculs de la comptabilité analytique.</w:t>
      </w:r>
    </w:p>
    <w:p w14:paraId="143033D8" w14:textId="77777777" w:rsidR="005D07A6" w:rsidRDefault="00F42774">
      <w:pPr>
        <w:pStyle w:val="finfilet"/>
      </w:pPr>
      <w:r>
        <w:t>Fin Definition</w:t>
      </w:r>
    </w:p>
    <w:p w14:paraId="184190B5" w14:textId="77777777" w:rsidR="005D07A6" w:rsidRDefault="00F42774">
      <w:pPr>
        <w:pStyle w:val="CTEspDessous"/>
      </w:pPr>
      <w:r>
        <w:t>Toutes les consommations de ressources ne sont pas comptabilisées en charges. Dans certains cas, du fait de la qualification juridique de l’opération, la rémunération du facteur de production mobilisé peut être incluse dans le résultat.</w:t>
      </w:r>
    </w:p>
    <w:p w14:paraId="26591BD0" w14:textId="77777777" w:rsidR="005D07A6" w:rsidRDefault="00F42774">
      <w:pPr>
        <w:pStyle w:val="debutfiletr"/>
      </w:pPr>
      <w:r>
        <w:t>Application _n-1</w:t>
      </w:r>
    </w:p>
    <w:p w14:paraId="438CCCE9" w14:textId="77777777" w:rsidR="005D07A6" w:rsidRDefault="00F42774">
      <w:pPr>
        <w:pStyle w:val="CT"/>
      </w:pPr>
      <w:r>
        <w:t xml:space="preserve">Considérons deux entreprises, X et Y, présentant de fortes similitudes : même chiffre d’affaires, même nombre d’ouvriers, même secteur d’activité, mêmes technologies. Seule différence notable : l’entreprise X est une SARL, alors que l’entreprise Y est une entreprise individuelle. Le patron de X est gérant salarié, et donc </w:t>
      </w:r>
      <w:r>
        <w:rPr>
          <w:b/>
          <w:bCs/>
        </w:rPr>
        <w:t>sa rémunération est comptabilisée en charges de personnel</w:t>
      </w:r>
      <w:r>
        <w:t xml:space="preserve">. Si le travail de direction devait être fait par un cadre salarié, les charges correspondantes seraient de 100. En revanche, le patron de Y n’est pas salarié et </w:t>
      </w:r>
      <w:r>
        <w:rPr>
          <w:b/>
          <w:bCs/>
        </w:rPr>
        <w:t>sa rémunération est constituée par le bénéfice</w:t>
      </w:r>
      <w:r>
        <w:t>. Ces deux personnes effectuent le même travail de direction. Supposons que le résultat de X soit de 0, et celui de Y soit de 100. Il serait stupide de dire que l’entreprise X est moins rentable que l’entreprise Y, ou que les coûts de Y sont moins élevés que ceux de X. La « </w:t>
      </w:r>
      <w:r>
        <w:rPr>
          <w:b/>
          <w:bCs/>
        </w:rPr>
        <w:t>rémunération du travail de l’exploitant</w:t>
      </w:r>
      <w:r>
        <w:rPr>
          <w:highlight w:val="green"/>
        </w:rPr>
        <w:fldChar w:fldCharType="begin"/>
      </w:r>
      <w:r>
        <w:rPr>
          <w:highlight w:val="green"/>
        </w:rPr>
        <w:instrText xml:space="preserve"> XE "</w:instrText>
      </w:r>
      <w:r>
        <w:rPr>
          <w:noProof/>
          <w:highlight w:val="green"/>
        </w:rPr>
        <w:instrText>Rémunération</w:instrText>
      </w:r>
      <w:r>
        <w:rPr>
          <w:highlight w:val="green"/>
        </w:rPr>
        <w:instrText>:</w:instrText>
      </w:r>
      <w:r>
        <w:rPr>
          <w:noProof/>
          <w:highlight w:val="green"/>
        </w:rPr>
        <w:instrText>– du travail de l’exploitant</w:instrText>
      </w:r>
      <w:r>
        <w:rPr>
          <w:highlight w:val="green"/>
        </w:rPr>
        <w:instrText xml:space="preserve">" </w:instrText>
      </w:r>
      <w:r>
        <w:rPr>
          <w:highlight w:val="green"/>
        </w:rPr>
        <w:fldChar w:fldCharType="end"/>
      </w:r>
      <w:r>
        <w:t xml:space="preserve"> » n’est pas comptabilisée comme une charge chez Y, pourtant il y a bien utilisation d’un facteur de production. Dans ce cas de figure, dans la comptabilité de gestion de Y, il faut faire « comme si » on avait à payer un salaire au patron, en rajoutant, de façon « supplétive » dans les charges retenues en comptabilité de gestion, une évaluation du travail de direction. Les économistes parlent d’un « coût d’opportunité », c’est-à-dire d’un manque à gagner : si le patron de Y, au lieu de travailler dans sa propre </w:t>
      </w:r>
      <w:r>
        <w:lastRenderedPageBreak/>
        <w:t>entreprise, travaillait comme cadre salarié dans une autre entreprise, il recevrait cette rémunération comme salaire.</w:t>
      </w:r>
    </w:p>
    <w:p w14:paraId="0B9DD207" w14:textId="77777777" w:rsidR="005D07A6" w:rsidRDefault="00F42774">
      <w:pPr>
        <w:pStyle w:val="finfiletr"/>
      </w:pPr>
      <w:r>
        <w:t>Fin Application</w:t>
      </w:r>
    </w:p>
    <w:p w14:paraId="408EFFAE" w14:textId="77777777" w:rsidR="005D07A6" w:rsidRDefault="00F42774">
      <w:pPr>
        <w:pStyle w:val="debutfiletr"/>
      </w:pPr>
      <w:r>
        <w:t>Application _n-1_Suite</w:t>
      </w:r>
    </w:p>
    <w:p w14:paraId="48F38556" w14:textId="77777777" w:rsidR="005D07A6" w:rsidRDefault="00F42774">
      <w:pPr>
        <w:pStyle w:val="CT"/>
      </w:pPr>
      <w:r>
        <w:rPr>
          <w:b/>
          <w:bCs/>
        </w:rPr>
        <w:t>La rémunération des capitaux propres</w:t>
      </w:r>
      <w:r>
        <w:rPr>
          <w:highlight w:val="green"/>
        </w:rPr>
        <w:fldChar w:fldCharType="begin"/>
      </w:r>
      <w:r>
        <w:rPr>
          <w:highlight w:val="green"/>
        </w:rPr>
        <w:instrText xml:space="preserve"> XE "</w:instrText>
      </w:r>
      <w:r>
        <w:rPr>
          <w:noProof/>
          <w:highlight w:val="green"/>
        </w:rPr>
        <w:instrText>Rémunération</w:instrText>
      </w:r>
      <w:r>
        <w:rPr>
          <w:highlight w:val="green"/>
        </w:rPr>
        <w:instrText>:</w:instrText>
      </w:r>
      <w:r>
        <w:rPr>
          <w:noProof/>
          <w:highlight w:val="green"/>
        </w:rPr>
        <w:instrText>– des capitaux propres</w:instrText>
      </w:r>
      <w:r>
        <w:rPr>
          <w:highlight w:val="green"/>
        </w:rPr>
        <w:instrText xml:space="preserve">" </w:instrText>
      </w:r>
      <w:r>
        <w:rPr>
          <w:highlight w:val="green"/>
        </w:rPr>
        <w:fldChar w:fldCharType="end"/>
      </w:r>
    </w:p>
    <w:p w14:paraId="414F06E3" w14:textId="77777777" w:rsidR="005D07A6" w:rsidRDefault="00F42774">
      <w:pPr>
        <w:pStyle w:val="CT"/>
      </w:pPr>
      <w:r>
        <w:t>Reprenons nos deux entreprises, en supposant que la structure de financement est très différente : chez X, il y a un poste « capital » très important, alors que chez Y le financement se fait principalement par apport en compte courant. Dans le cas de Y, les comptes courants seront rémunérés, et il y aura beaucoup de frais financiers dans les charges, qui viendront majorer les coûts et minorer le résultat, alors que chez X la rémunération du capital se fera par distribution des bénéfices. Là encore, aucune comparaison de coûts ou de résultats n’est possible. Techniquement, il faut donc « rémunérer fictivement » les capitaux propres. Il y a en effet un manque à gagner pour X : si on plaçait l’argent immobilisé dans le capital de l’entreprise, on en retirerait un intérêt.</w:t>
      </w:r>
    </w:p>
    <w:p w14:paraId="0FC819B8" w14:textId="77777777" w:rsidR="005D07A6" w:rsidRDefault="00F42774">
      <w:pPr>
        <w:pStyle w:val="finfiletr"/>
      </w:pPr>
      <w:r>
        <w:t>Fin Application</w:t>
      </w:r>
    </w:p>
    <w:p w14:paraId="0A8F66DD" w14:textId="77777777" w:rsidR="005D07A6" w:rsidRDefault="00F42774">
      <w:pPr>
        <w:pStyle w:val="CTEspDessous"/>
      </w:pPr>
      <w:r>
        <w:t>On pourrait multiplier les exemples dans d’autres contextes : prise en compte du bénévolat dans une association ; prise en compte de la disposition du foncier dans une entreprise agricole ; mise à disposition de locaux sans faire payer de loyer ; mise à disposition d’un fonctionnaire dans une autre administration, etc.</w:t>
      </w:r>
    </w:p>
    <w:p w14:paraId="3A69D68C" w14:textId="77777777" w:rsidR="005D07A6" w:rsidRDefault="00F42774">
      <w:pPr>
        <w:pStyle w:val="CTEspDessous"/>
      </w:pPr>
      <w:r>
        <w:t>À chaque fois qu’un facteur de production est utilisé « gratuitement » (sans comptabiliser de charges en comptabilité financière), du fait de la qualification juridique de l’opération, il convient de prendre en compte le coût d’opportunité correspondant en comptabilité de gestion pour obtenir des coûts pertinents.</w:t>
      </w:r>
    </w:p>
    <w:p w14:paraId="09587D6C" w14:textId="77777777" w:rsidR="005D07A6" w:rsidRDefault="00F42774">
      <w:pPr>
        <w:pStyle w:val="CT"/>
      </w:pPr>
      <w:r>
        <w:t>On comprend toute l’importance de cette prise en compte pour faire des comparaisons de performances « dans l’espace », entre les filiales de statuts juridiques différents dans un groupe, par exemple.</w:t>
      </w:r>
    </w:p>
    <w:p w14:paraId="22D0536E" w14:textId="77777777" w:rsidR="005D07A6" w:rsidRDefault="00F42774">
      <w:pPr>
        <w:pStyle w:val="CT"/>
        <w:jc w:val="center"/>
      </w:pPr>
      <w:r>
        <w:rPr>
          <w:noProof/>
        </w:rPr>
        <w:drawing>
          <wp:inline distT="0" distB="0" distL="0" distR="0" wp14:anchorId="541D57A3" wp14:editId="04B7D7DE">
            <wp:extent cx="4468755" cy="1591194"/>
            <wp:effectExtent l="0" t="0" r="8255" b="9525"/>
            <wp:docPr id="3" name="Image 3" descr="Pas de visualisation pour [UE202526_433_S1_fichiers/UE121S1_022.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s de visualisation pour [UE202526_433_S1_fichiers/UE121S1_022.png]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68755" cy="1591194"/>
                    </a:xfrm>
                    <a:prstGeom prst="rect">
                      <a:avLst/>
                    </a:prstGeom>
                    <a:noFill/>
                    <a:ln>
                      <a:noFill/>
                    </a:ln>
                  </pic:spPr>
                </pic:pic>
              </a:graphicData>
            </a:graphic>
          </wp:inline>
        </w:drawing>
      </w:r>
      <w:r>
        <w:t>&lt;image&gt;UE121S1_022.png&lt;/image&gt;</w:t>
      </w:r>
    </w:p>
    <w:p w14:paraId="2D1D6978" w14:textId="77777777" w:rsidR="005D07A6" w:rsidRDefault="00F42774">
      <w:pPr>
        <w:pStyle w:val="debutfilet"/>
      </w:pPr>
      <w:r>
        <w:t>Attention</w:t>
      </w:r>
    </w:p>
    <w:p w14:paraId="5C63F782" w14:textId="77777777" w:rsidR="005D07A6" w:rsidRDefault="00F42774">
      <w:pPr>
        <w:pStyle w:val="LibelleRubrique"/>
      </w:pPr>
      <w:r>
        <w:t>Attention</w:t>
      </w:r>
    </w:p>
    <w:p w14:paraId="021B2B0B" w14:textId="77777777" w:rsidR="005D07A6" w:rsidRDefault="00F42774">
      <w:pPr>
        <w:pStyle w:val="CT"/>
      </w:pPr>
      <w:r>
        <w:t>Les charges non incorporables et supplétives font souvent l’objet d’une question de cours dans les sujets d’examen.</w:t>
      </w:r>
    </w:p>
    <w:p w14:paraId="674EFF4A" w14:textId="77777777" w:rsidR="005D07A6" w:rsidRDefault="00F42774">
      <w:pPr>
        <w:pStyle w:val="finfilet"/>
      </w:pPr>
      <w:r>
        <w:t>Fin Attention</w:t>
      </w:r>
    </w:p>
    <w:p w14:paraId="5CA49FDC" w14:textId="77777777" w:rsidR="005D07A6" w:rsidRDefault="00F42774">
      <w:pPr>
        <w:pStyle w:val="T5"/>
      </w:pPr>
      <w:r>
        <w:t>C.</w:t>
      </w:r>
      <w:r>
        <w:tab/>
        <w:t>le bouclage du résultat</w:t>
      </w:r>
      <w:r>
        <w:rPr>
          <w:highlight w:val="green"/>
        </w:rPr>
        <w:fldChar w:fldCharType="begin"/>
      </w:r>
      <w:r>
        <w:rPr>
          <w:highlight w:val="green"/>
        </w:rPr>
        <w:instrText xml:space="preserve"> XE "</w:instrText>
      </w:r>
      <w:r>
        <w:rPr>
          <w:noProof/>
          <w:highlight w:val="green"/>
        </w:rPr>
        <w:instrText>Bouclage du résultat</w:instrText>
      </w:r>
      <w:r>
        <w:rPr>
          <w:highlight w:val="green"/>
        </w:rPr>
        <w:instrText xml:space="preserve">" </w:instrText>
      </w:r>
      <w:r>
        <w:rPr>
          <w:highlight w:val="green"/>
        </w:rPr>
        <w:fldChar w:fldCharType="end"/>
      </w:r>
    </w:p>
    <w:p w14:paraId="3295B3EF" w14:textId="77777777" w:rsidR="005D07A6" w:rsidRDefault="00F42774">
      <w:pPr>
        <w:pStyle w:val="CTEspDessous"/>
      </w:pPr>
      <w:r>
        <w:t xml:space="preserve">Les éléments retenus en comptabilité de gestion n’étant pas toujours les mêmes que ceux de la comptabilité financière, un rapprochement par concordance entre le résultat de la comptabilité de gestion et celui de la comptabilité financière </w:t>
      </w:r>
      <w:r>
        <w:rPr>
          <w:b/>
          <w:bCs/>
        </w:rPr>
        <w:t>permet de vérifier la régularité méthodologique des résultats analytiques</w:t>
      </w:r>
      <w:r>
        <w:t>.</w:t>
      </w:r>
    </w:p>
    <w:p w14:paraId="342498B7" w14:textId="77777777" w:rsidR="005D07A6" w:rsidRDefault="00F42774">
      <w:pPr>
        <w:pStyle w:val="CT"/>
      </w:pPr>
      <w:r>
        <w:t xml:space="preserve">Il est à noter que cette </w:t>
      </w:r>
      <w:r>
        <w:rPr>
          <w:b/>
          <w:bCs/>
        </w:rPr>
        <w:t>concordance s’effectue toujours en partant des résultats analytiques pour retrouver le résultat de la comptabilité financière</w:t>
      </w:r>
      <w:r>
        <w:t xml:space="preserve"> (ou</w:t>
      </w:r>
      <w:r>
        <w:rPr>
          <w:b/>
          <w:bCs/>
        </w:rPr>
        <w:t xml:space="preserve"> résultat comptable</w:t>
      </w:r>
      <w:r>
        <w:rPr>
          <w:highlight w:val="green"/>
        </w:rPr>
        <w:fldChar w:fldCharType="begin"/>
      </w:r>
      <w:r>
        <w:rPr>
          <w:highlight w:val="green"/>
        </w:rPr>
        <w:instrText xml:space="preserve"> XE "</w:instrText>
      </w:r>
      <w:r>
        <w:rPr>
          <w:noProof/>
          <w:highlight w:val="green"/>
        </w:rPr>
        <w:instrText>Résultat</w:instrText>
      </w:r>
      <w:r>
        <w:rPr>
          <w:highlight w:val="green"/>
        </w:rPr>
        <w:instrText>:</w:instrText>
      </w:r>
      <w:r>
        <w:rPr>
          <w:noProof/>
          <w:highlight w:val="green"/>
        </w:rPr>
        <w:instrText>– comptable</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Résultat</w:instrText>
      </w:r>
      <w:r>
        <w:rPr>
          <w:highlight w:val="green"/>
        </w:rPr>
        <w:instrText>:</w:instrText>
      </w:r>
      <w:r>
        <w:rPr>
          <w:noProof/>
          <w:highlight w:val="green"/>
        </w:rPr>
        <w:instrText>– de la comptabilité financière</w:instrText>
      </w:r>
      <w:r>
        <w:rPr>
          <w:highlight w:val="green"/>
        </w:rPr>
        <w:instrText xml:space="preserve">" </w:instrText>
      </w:r>
      <w:r>
        <w:rPr>
          <w:highlight w:val="green"/>
        </w:rPr>
        <w:fldChar w:fldCharType="end"/>
      </w:r>
      <w:r>
        <w:t>).</w:t>
      </w:r>
    </w:p>
    <w:p w14:paraId="7B03637E" w14:textId="77777777" w:rsidR="005D07A6" w:rsidRDefault="00F42774">
      <w:pPr>
        <w:pStyle w:val="CT"/>
      </w:pPr>
      <w:r>
        <w:t>Nous avons donc :</w:t>
      </w:r>
    </w:p>
    <w:p w14:paraId="4C0CCFC2" w14:textId="77777777" w:rsidR="005D07A6" w:rsidRDefault="00F42774">
      <w:pPr>
        <w:pStyle w:val="CT"/>
      </w:pPr>
      <w:r>
        <w:lastRenderedPageBreak/>
        <w:t>(+) Charges de la classe 6 de la comptabilité financière</w:t>
      </w:r>
    </w:p>
    <w:p w14:paraId="228B3067" w14:textId="77777777" w:rsidR="005D07A6" w:rsidRDefault="00F42774">
      <w:pPr>
        <w:pStyle w:val="CT"/>
      </w:pPr>
      <w:r>
        <w:t>(+) Charges supplétives</w:t>
      </w:r>
    </w:p>
    <w:p w14:paraId="50CC9A9C" w14:textId="77777777" w:rsidR="005D07A6" w:rsidRDefault="00F42774">
      <w:pPr>
        <w:pStyle w:val="CT"/>
      </w:pPr>
      <w:r>
        <w:t>(–) Charges non incorporables</w:t>
      </w:r>
    </w:p>
    <w:p w14:paraId="54543F8B" w14:textId="77777777" w:rsidR="005D07A6" w:rsidRDefault="00F42774">
      <w:pPr>
        <w:pStyle w:val="CTEspDessous"/>
      </w:pPr>
      <w:r>
        <w:t>= Charges incorporées en comptabilité de gestion</w:t>
      </w:r>
    </w:p>
    <w:p w14:paraId="3F168E6A" w14:textId="77777777" w:rsidR="005D07A6" w:rsidRDefault="00F42774">
      <w:pPr>
        <w:pStyle w:val="CT"/>
      </w:pPr>
      <w:r>
        <w:t>Toutes ces différences sont des « </w:t>
      </w:r>
      <w:r>
        <w:rPr>
          <w:b/>
          <w:bCs/>
        </w:rPr>
        <w:t>différences de traitement comptable</w:t>
      </w:r>
      <w:r>
        <w:rPr>
          <w:highlight w:val="green"/>
        </w:rPr>
        <w:fldChar w:fldCharType="begin"/>
      </w:r>
      <w:r>
        <w:rPr>
          <w:highlight w:val="green"/>
        </w:rPr>
        <w:instrText xml:space="preserve"> XE "</w:instrText>
      </w:r>
      <w:r>
        <w:rPr>
          <w:noProof/>
          <w:highlight w:val="green"/>
        </w:rPr>
        <w:instrText>Différence</w:instrText>
      </w:r>
      <w:r>
        <w:rPr>
          <w:highlight w:val="green"/>
        </w:rPr>
        <w:instrText>:</w:instrText>
      </w:r>
      <w:r>
        <w:rPr>
          <w:noProof/>
          <w:highlight w:val="green"/>
        </w:rPr>
        <w:instrText>– de traitement comptable</w:instrText>
      </w:r>
      <w:r>
        <w:rPr>
          <w:highlight w:val="green"/>
        </w:rPr>
        <w:instrText xml:space="preserve">" </w:instrText>
      </w:r>
      <w:r>
        <w:rPr>
          <w:highlight w:val="green"/>
        </w:rPr>
        <w:fldChar w:fldCharType="end"/>
      </w:r>
      <w:r>
        <w:t> » qu’il convient d’isoler, mais dont il faut tenir compte pour « boucler », pour retrouver le résultat global à partir des résultats analytiques.</w:t>
      </w:r>
    </w:p>
    <w:p w14:paraId="5F6246F5" w14:textId="77777777" w:rsidR="005D07A6" w:rsidRDefault="00F42774">
      <w:pPr>
        <w:pStyle w:val="CT"/>
      </w:pPr>
      <w:r>
        <w:t>Nous avons :</w:t>
      </w:r>
    </w:p>
    <w:p w14:paraId="584905A9" w14:textId="77777777" w:rsidR="005D07A6" w:rsidRDefault="00F42774">
      <w:pPr>
        <w:pStyle w:val="CT"/>
      </w:pPr>
      <w:r>
        <w:t>(+) Somme algébrique des résultats analytiques</w:t>
      </w:r>
    </w:p>
    <w:p w14:paraId="046B0A60" w14:textId="77777777" w:rsidR="005D07A6" w:rsidRDefault="00F42774">
      <w:pPr>
        <w:pStyle w:val="CT"/>
      </w:pPr>
      <w:r>
        <w:t>(+) Somme algébrique des différences de traitement comptable</w:t>
      </w:r>
    </w:p>
    <w:p w14:paraId="1979C085" w14:textId="77777777" w:rsidR="005D07A6" w:rsidRDefault="00F42774">
      <w:pPr>
        <w:pStyle w:val="CTEspDessous"/>
      </w:pPr>
      <w:r>
        <w:t>= Résultat de la période de la comptabilité financière</w:t>
      </w:r>
    </w:p>
    <w:p w14:paraId="6EDB7845" w14:textId="77777777" w:rsidR="005D07A6" w:rsidRDefault="00F42774">
      <w:pPr>
        <w:pStyle w:val="T5"/>
      </w:pPr>
      <w:r>
        <w:t>D.</w:t>
      </w:r>
      <w:r>
        <w:tab/>
        <w:t>le compte de résultat</w:t>
      </w:r>
      <w:r>
        <w:rPr>
          <w:highlight w:val="green"/>
        </w:rPr>
        <w:fldChar w:fldCharType="begin"/>
      </w:r>
      <w:r>
        <w:rPr>
          <w:highlight w:val="green"/>
        </w:rPr>
        <w:instrText xml:space="preserve"> XE "</w:instrText>
      </w:r>
      <w:r>
        <w:rPr>
          <w:noProof/>
          <w:highlight w:val="green"/>
        </w:rPr>
        <w:instrText>Compte</w:instrText>
      </w:r>
      <w:r>
        <w:rPr>
          <w:highlight w:val="green"/>
        </w:rPr>
        <w:instrText>:</w:instrText>
      </w:r>
      <w:r>
        <w:rPr>
          <w:noProof/>
          <w:highlight w:val="green"/>
        </w:rPr>
        <w:instrText>– de résultat</w:instrText>
      </w:r>
      <w:r>
        <w:rPr>
          <w:highlight w:val="green"/>
        </w:rPr>
        <w:instrText xml:space="preserve">" </w:instrText>
      </w:r>
      <w:r>
        <w:rPr>
          <w:highlight w:val="green"/>
        </w:rPr>
        <w:fldChar w:fldCharType="end"/>
      </w:r>
    </w:p>
    <w:p w14:paraId="74A1D39E" w14:textId="77777777" w:rsidR="005D07A6" w:rsidRDefault="00F42774">
      <w:pPr>
        <w:pStyle w:val="CTEspDessous"/>
      </w:pPr>
      <w:r>
        <w:t>La structure habituelle d’un compte de résultat est la suivante :</w:t>
      </w:r>
    </w:p>
    <w:tbl>
      <w:tblPr>
        <w:tblW w:w="7643" w:type="dxa"/>
        <w:tblInd w:w="1701" w:type="dxa"/>
        <w:tblLook w:val="04A0" w:firstRow="1" w:lastRow="0" w:firstColumn="1" w:lastColumn="0" w:noHBand="0" w:noVBand="1"/>
      </w:tblPr>
      <w:tblGrid>
        <w:gridCol w:w="3604"/>
        <w:gridCol w:w="1064"/>
        <w:gridCol w:w="1911"/>
        <w:gridCol w:w="1064"/>
      </w:tblGrid>
      <w:tr w:rsidR="005D07A6" w14:paraId="0C511C3E" w14:textId="77777777">
        <w:tc>
          <w:tcPr>
            <w:tcW w:w="274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F404B9B" w14:textId="77777777" w:rsidR="005D07A6" w:rsidRDefault="00F42774">
            <w:pPr>
              <w:pStyle w:val="TA1"/>
              <w:jc w:val="center"/>
              <w:rPr>
                <w:rFonts w:eastAsiaTheme="minorEastAsia"/>
              </w:rPr>
            </w:pPr>
            <w:r>
              <w:rPr>
                <w:b/>
                <w:bCs/>
              </w:rPr>
              <w:t>Charges</w:t>
            </w:r>
          </w:p>
        </w:tc>
        <w:tc>
          <w:tcPr>
            <w:tcW w:w="76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0A17936" w14:textId="77777777" w:rsidR="005D07A6" w:rsidRDefault="00F42774">
            <w:pPr>
              <w:pStyle w:val="TA1"/>
              <w:jc w:val="center"/>
              <w:rPr>
                <w:rFonts w:eastAsiaTheme="minorEastAsia"/>
              </w:rPr>
            </w:pPr>
            <w:r>
              <w:rPr>
                <w:b/>
                <w:bCs/>
              </w:rPr>
              <w:t>Montants</w:t>
            </w:r>
          </w:p>
        </w:tc>
        <w:tc>
          <w:tcPr>
            <w:tcW w:w="145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DB3E8DB" w14:textId="77777777" w:rsidR="005D07A6" w:rsidRDefault="00F42774">
            <w:pPr>
              <w:pStyle w:val="TA1"/>
              <w:jc w:val="center"/>
              <w:rPr>
                <w:rFonts w:eastAsiaTheme="minorEastAsia"/>
              </w:rPr>
            </w:pPr>
            <w:r>
              <w:rPr>
                <w:b/>
                <w:bCs/>
              </w:rPr>
              <w:t>Produits</w:t>
            </w:r>
          </w:p>
        </w:tc>
        <w:tc>
          <w:tcPr>
            <w:tcW w:w="76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9F8E409" w14:textId="77777777" w:rsidR="005D07A6" w:rsidRDefault="00F42774">
            <w:pPr>
              <w:pStyle w:val="TA1"/>
              <w:jc w:val="center"/>
              <w:rPr>
                <w:rFonts w:eastAsiaTheme="minorEastAsia"/>
              </w:rPr>
            </w:pPr>
            <w:r>
              <w:rPr>
                <w:b/>
                <w:bCs/>
              </w:rPr>
              <w:t>Montants</w:t>
            </w:r>
          </w:p>
        </w:tc>
      </w:tr>
      <w:tr w:rsidR="005D07A6" w14:paraId="7745CD8A" w14:textId="77777777">
        <w:tc>
          <w:tcPr>
            <w:tcW w:w="27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EB52A60" w14:textId="77777777" w:rsidR="005D07A6" w:rsidRDefault="00F42774">
            <w:pPr>
              <w:pStyle w:val="TA1"/>
              <w:rPr>
                <w:rFonts w:eastAsiaTheme="minorEastAsia"/>
              </w:rPr>
            </w:pPr>
            <w:r>
              <w:t>Achats de matières et marchandises</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7277307" w14:textId="77777777" w:rsidR="005D07A6" w:rsidRDefault="005D07A6"/>
        </w:tc>
        <w:tc>
          <w:tcPr>
            <w:tcW w:w="14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F749854" w14:textId="77777777" w:rsidR="005D07A6" w:rsidRDefault="00F42774">
            <w:pPr>
              <w:pStyle w:val="TA1"/>
              <w:rPr>
                <w:rFonts w:eastAsiaTheme="minorEastAsia"/>
              </w:rPr>
            </w:pPr>
            <w:r>
              <w:t>Ventes</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7049E9E" w14:textId="77777777" w:rsidR="005D07A6" w:rsidRDefault="005D07A6"/>
        </w:tc>
      </w:tr>
      <w:tr w:rsidR="005D07A6" w14:paraId="421B2541" w14:textId="77777777">
        <w:tc>
          <w:tcPr>
            <w:tcW w:w="27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BEB2589" w14:textId="77777777" w:rsidR="005D07A6" w:rsidRDefault="00F42774">
            <w:pPr>
              <w:pStyle w:val="TA1"/>
              <w:rPr>
                <w:rFonts w:eastAsiaTheme="minorEastAsia"/>
              </w:rPr>
            </w:pPr>
            <w:r>
              <w:t>Variation des stocks (matières et marchandises)</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70BE318" w14:textId="77777777" w:rsidR="005D07A6" w:rsidRDefault="005D07A6"/>
        </w:tc>
        <w:tc>
          <w:tcPr>
            <w:tcW w:w="14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E13DFE4" w14:textId="77777777" w:rsidR="005D07A6" w:rsidRDefault="00F42774">
            <w:pPr>
              <w:pStyle w:val="TA1"/>
              <w:rPr>
                <w:rFonts w:eastAsiaTheme="minorEastAsia"/>
              </w:rPr>
            </w:pPr>
            <w:r>
              <w:t>Production stockée</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B81154F" w14:textId="77777777" w:rsidR="005D07A6" w:rsidRDefault="005D07A6"/>
        </w:tc>
      </w:tr>
      <w:tr w:rsidR="005D07A6" w14:paraId="723F540E" w14:textId="77777777">
        <w:tc>
          <w:tcPr>
            <w:tcW w:w="27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671193D" w14:textId="77777777" w:rsidR="005D07A6" w:rsidRDefault="00F42774">
            <w:pPr>
              <w:pStyle w:val="TA1"/>
              <w:rPr>
                <w:rFonts w:eastAsiaTheme="minorEastAsia"/>
              </w:rPr>
            </w:pPr>
            <w:r>
              <w:t>Charges externes</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BE1FED8" w14:textId="77777777" w:rsidR="005D07A6" w:rsidRDefault="005D07A6"/>
        </w:tc>
        <w:tc>
          <w:tcPr>
            <w:tcW w:w="14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7FA7B77" w14:textId="77777777" w:rsidR="005D07A6" w:rsidRDefault="005D07A6"/>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F5F3349" w14:textId="77777777" w:rsidR="005D07A6" w:rsidRDefault="005D07A6"/>
        </w:tc>
      </w:tr>
      <w:tr w:rsidR="005D07A6" w14:paraId="02AE5884" w14:textId="77777777">
        <w:tc>
          <w:tcPr>
            <w:tcW w:w="27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2888371" w14:textId="77777777" w:rsidR="005D07A6" w:rsidRDefault="00F42774">
            <w:pPr>
              <w:pStyle w:val="TA1"/>
              <w:rPr>
                <w:rFonts w:eastAsiaTheme="minorEastAsia"/>
              </w:rPr>
            </w:pPr>
            <w:r>
              <w:t>Impôts et taxes</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A273E52" w14:textId="77777777" w:rsidR="005D07A6" w:rsidRDefault="005D07A6"/>
        </w:tc>
        <w:tc>
          <w:tcPr>
            <w:tcW w:w="14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E8EB970" w14:textId="77777777" w:rsidR="005D07A6" w:rsidRDefault="005D07A6"/>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46CF2E1" w14:textId="77777777" w:rsidR="005D07A6" w:rsidRDefault="005D07A6"/>
        </w:tc>
      </w:tr>
      <w:tr w:rsidR="005D07A6" w14:paraId="71BBB963" w14:textId="77777777">
        <w:tc>
          <w:tcPr>
            <w:tcW w:w="27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5866AF6" w14:textId="77777777" w:rsidR="005D07A6" w:rsidRDefault="00F42774">
            <w:pPr>
              <w:pStyle w:val="TA1"/>
              <w:rPr>
                <w:rFonts w:eastAsiaTheme="minorEastAsia"/>
              </w:rPr>
            </w:pPr>
            <w:r>
              <w:t>Charges de personnel</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0C24340" w14:textId="77777777" w:rsidR="005D07A6" w:rsidRDefault="005D07A6"/>
        </w:tc>
        <w:tc>
          <w:tcPr>
            <w:tcW w:w="14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79ABD99" w14:textId="77777777" w:rsidR="005D07A6" w:rsidRDefault="005D07A6"/>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6687E23" w14:textId="77777777" w:rsidR="005D07A6" w:rsidRDefault="005D07A6"/>
        </w:tc>
      </w:tr>
      <w:tr w:rsidR="005D07A6" w14:paraId="32BA0505" w14:textId="77777777">
        <w:tc>
          <w:tcPr>
            <w:tcW w:w="27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9C3FF67" w14:textId="77777777" w:rsidR="005D07A6" w:rsidRDefault="00F42774">
            <w:pPr>
              <w:pStyle w:val="TA1"/>
              <w:rPr>
                <w:rFonts w:eastAsiaTheme="minorEastAsia"/>
              </w:rPr>
            </w:pPr>
            <w:r>
              <w:t>Dotations aux amortissements</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F29F6BE" w14:textId="77777777" w:rsidR="005D07A6" w:rsidRDefault="005D07A6"/>
        </w:tc>
        <w:tc>
          <w:tcPr>
            <w:tcW w:w="14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7EBDF8C" w14:textId="77777777" w:rsidR="005D07A6" w:rsidRDefault="005D07A6"/>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EEBAF89" w14:textId="77777777" w:rsidR="005D07A6" w:rsidRDefault="005D07A6"/>
        </w:tc>
      </w:tr>
      <w:tr w:rsidR="005D07A6" w14:paraId="3DEAE4AD" w14:textId="77777777">
        <w:tc>
          <w:tcPr>
            <w:tcW w:w="27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55F5A2C" w14:textId="77777777" w:rsidR="005D07A6" w:rsidRDefault="00F42774">
            <w:pPr>
              <w:pStyle w:val="TA1"/>
              <w:rPr>
                <w:rFonts w:eastAsiaTheme="minorEastAsia"/>
              </w:rPr>
            </w:pPr>
            <w:r>
              <w:t>Charges financières</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6131D27" w14:textId="77777777" w:rsidR="005D07A6" w:rsidRDefault="005D07A6"/>
        </w:tc>
        <w:tc>
          <w:tcPr>
            <w:tcW w:w="14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65252D6" w14:textId="77777777" w:rsidR="005D07A6" w:rsidRDefault="00F42774">
            <w:pPr>
              <w:pStyle w:val="TA1"/>
              <w:rPr>
                <w:rFonts w:eastAsiaTheme="minorEastAsia"/>
              </w:rPr>
            </w:pPr>
            <w:r>
              <w:t>Produits financiers</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F40A447" w14:textId="77777777" w:rsidR="005D07A6" w:rsidRDefault="005D07A6"/>
        </w:tc>
      </w:tr>
      <w:tr w:rsidR="005D07A6" w14:paraId="2DA3DA02" w14:textId="77777777">
        <w:tc>
          <w:tcPr>
            <w:tcW w:w="27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753931E" w14:textId="77777777" w:rsidR="005D07A6" w:rsidRDefault="00F42774">
            <w:pPr>
              <w:pStyle w:val="TA1"/>
              <w:rPr>
                <w:rFonts w:eastAsiaTheme="minorEastAsia"/>
              </w:rPr>
            </w:pPr>
            <w:r>
              <w:t>Charges exceptionnelles</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C3FD0AB" w14:textId="77777777" w:rsidR="005D07A6" w:rsidRDefault="005D07A6"/>
        </w:tc>
        <w:tc>
          <w:tcPr>
            <w:tcW w:w="14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7352A2F" w14:textId="77777777" w:rsidR="005D07A6" w:rsidRDefault="00F42774">
            <w:pPr>
              <w:pStyle w:val="TA1"/>
              <w:rPr>
                <w:rFonts w:eastAsiaTheme="minorEastAsia"/>
              </w:rPr>
            </w:pPr>
            <w:r>
              <w:t>Produits exceptionnels</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D9FFC6D" w14:textId="77777777" w:rsidR="005D07A6" w:rsidRDefault="005D07A6"/>
        </w:tc>
      </w:tr>
      <w:tr w:rsidR="005D07A6" w14:paraId="1EC4AD30" w14:textId="77777777">
        <w:tc>
          <w:tcPr>
            <w:tcW w:w="27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1EF54AC" w14:textId="77777777" w:rsidR="005D07A6" w:rsidRDefault="00F42774">
            <w:pPr>
              <w:pStyle w:val="TA1"/>
              <w:rPr>
                <w:rFonts w:eastAsiaTheme="minorEastAsia"/>
              </w:rPr>
            </w:pPr>
            <w:r>
              <w:t>Résultat (si bénéfice)</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5900B12" w14:textId="77777777" w:rsidR="005D07A6" w:rsidRDefault="005D07A6"/>
        </w:tc>
        <w:tc>
          <w:tcPr>
            <w:tcW w:w="14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205A16A" w14:textId="77777777" w:rsidR="005D07A6" w:rsidRDefault="00F42774">
            <w:pPr>
              <w:pStyle w:val="TA1"/>
              <w:rPr>
                <w:rFonts w:eastAsiaTheme="minorEastAsia"/>
              </w:rPr>
            </w:pPr>
            <w:r>
              <w:t>Résultat (si perte)</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D0E0AE3" w14:textId="77777777" w:rsidR="005D07A6" w:rsidRDefault="005D07A6"/>
        </w:tc>
      </w:tr>
      <w:tr w:rsidR="005D07A6" w14:paraId="7B9914D7" w14:textId="77777777">
        <w:tc>
          <w:tcPr>
            <w:tcW w:w="27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A34D4B0" w14:textId="77777777" w:rsidR="005D07A6" w:rsidRDefault="00F42774">
            <w:pPr>
              <w:pStyle w:val="TA1"/>
              <w:rPr>
                <w:rFonts w:eastAsiaTheme="minorEastAsia"/>
              </w:rPr>
            </w:pPr>
            <w:r>
              <w:t>Total</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7D0645D" w14:textId="77777777" w:rsidR="005D07A6" w:rsidRDefault="005D07A6"/>
        </w:tc>
        <w:tc>
          <w:tcPr>
            <w:tcW w:w="14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0A72A82" w14:textId="77777777" w:rsidR="005D07A6" w:rsidRDefault="00F42774">
            <w:pPr>
              <w:pStyle w:val="TA1"/>
              <w:rPr>
                <w:rFonts w:eastAsiaTheme="minorEastAsia"/>
              </w:rPr>
            </w:pPr>
            <w:r>
              <w:t>Total</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816BE8D" w14:textId="77777777" w:rsidR="005D07A6" w:rsidRDefault="005D07A6"/>
        </w:tc>
      </w:tr>
    </w:tbl>
    <w:p w14:paraId="3AC17258" w14:textId="77777777" w:rsidR="005D07A6" w:rsidRDefault="00F42774">
      <w:pPr>
        <w:pStyle w:val="T2"/>
        <w:rPr>
          <w:rFonts w:eastAsiaTheme="minorEastAsia"/>
        </w:rPr>
      </w:pPr>
      <w:r>
        <w:t>Chapitre 2.</w:t>
      </w:r>
      <w:r>
        <w:tab/>
        <w:t>Le contrôle de gestion</w:t>
      </w:r>
    </w:p>
    <w:p w14:paraId="2A4C65B9" w14:textId="77777777" w:rsidR="005D07A6" w:rsidRDefault="00F42774">
      <w:pPr>
        <w:pStyle w:val="debutfilet"/>
      </w:pPr>
      <w:r>
        <w:t>Competences_attendues</w:t>
      </w:r>
    </w:p>
    <w:p w14:paraId="4FE7362F" w14:textId="77777777" w:rsidR="005D07A6" w:rsidRDefault="00F42774">
      <w:pPr>
        <w:pStyle w:val="ET"/>
      </w:pPr>
      <w:r>
        <w:t>Identifier le rôle et la place du contrôle de gestion en fonction des caractéristiques de l’organisation (taille, activité, environnement) et du type d’activité (production, service).</w:t>
      </w:r>
    </w:p>
    <w:p w14:paraId="741689F4" w14:textId="77777777" w:rsidR="005D07A6" w:rsidRDefault="00F42774">
      <w:pPr>
        <w:pStyle w:val="ET"/>
      </w:pPr>
      <w:r>
        <w:t>Distinguer les différentes définitions de la performance.</w:t>
      </w:r>
    </w:p>
    <w:p w14:paraId="1FB75086" w14:textId="77777777" w:rsidR="005D07A6" w:rsidRDefault="00F42774">
      <w:pPr>
        <w:pStyle w:val="ET"/>
      </w:pPr>
      <w:r>
        <w:t>Caractériser la notion de pilotage.</w:t>
      </w:r>
    </w:p>
    <w:p w14:paraId="5698FA52" w14:textId="77777777" w:rsidR="005D07A6" w:rsidRDefault="00F42774">
      <w:pPr>
        <w:pStyle w:val="finfilet"/>
      </w:pPr>
      <w:r>
        <w:t>Fin Competences_attendues</w:t>
      </w:r>
    </w:p>
    <w:p w14:paraId="45C80D3B" w14:textId="77777777" w:rsidR="005D07A6" w:rsidRDefault="00F42774">
      <w:pPr>
        <w:pStyle w:val="T3"/>
      </w:pPr>
      <w:r>
        <w:t>section 1.</w:t>
      </w:r>
      <w:r>
        <w:tab/>
        <w:t>Le processus de contrôle de gestion</w:t>
      </w:r>
    </w:p>
    <w:p w14:paraId="26B06A6D" w14:textId="77777777" w:rsidR="005D07A6" w:rsidRDefault="00F42774">
      <w:pPr>
        <w:pStyle w:val="CTEspDessous"/>
      </w:pPr>
      <w:r>
        <w:t xml:space="preserve">Le </w:t>
      </w:r>
      <w:r>
        <w:rPr>
          <w:b/>
          <w:bCs/>
        </w:rPr>
        <w:t>contrôle de gestion</w:t>
      </w:r>
      <w:r>
        <w:rPr>
          <w:highlight w:val="green"/>
        </w:rPr>
        <w:fldChar w:fldCharType="begin"/>
      </w:r>
      <w:r>
        <w:rPr>
          <w:highlight w:val="green"/>
        </w:rPr>
        <w:instrText xml:space="preserve"> XE "</w:instrText>
      </w:r>
      <w:r>
        <w:rPr>
          <w:noProof/>
          <w:highlight w:val="green"/>
        </w:rPr>
        <w:instrText>Contrôle</w:instrText>
      </w:r>
      <w:r>
        <w:rPr>
          <w:highlight w:val="green"/>
        </w:rPr>
        <w:instrText>:</w:instrText>
      </w:r>
      <w:r>
        <w:rPr>
          <w:noProof/>
          <w:highlight w:val="green"/>
        </w:rPr>
        <w:instrText>– de gestion</w:instrText>
      </w:r>
      <w:r>
        <w:rPr>
          <w:highlight w:val="green"/>
        </w:rPr>
        <w:instrText xml:space="preserve">" </w:instrText>
      </w:r>
      <w:r>
        <w:rPr>
          <w:highlight w:val="green"/>
        </w:rPr>
        <w:fldChar w:fldCharType="end"/>
      </w:r>
      <w:r>
        <w:t xml:space="preserve"> constitue l’une des disciplines académiques relevant des </w:t>
      </w:r>
      <w:r>
        <w:rPr>
          <w:b/>
          <w:bCs/>
        </w:rPr>
        <w:t>sciences de gestion</w:t>
      </w:r>
      <w:r>
        <w:rPr>
          <w:highlight w:val="green"/>
        </w:rPr>
        <w:fldChar w:fldCharType="begin"/>
      </w:r>
      <w:r>
        <w:rPr>
          <w:highlight w:val="green"/>
        </w:rPr>
        <w:instrText xml:space="preserve"> XE "</w:instrText>
      </w:r>
      <w:r>
        <w:rPr>
          <w:noProof/>
          <w:highlight w:val="green"/>
        </w:rPr>
        <w:instrText>Sciences de gestion</w:instrText>
      </w:r>
      <w:r>
        <w:rPr>
          <w:highlight w:val="green"/>
        </w:rPr>
        <w:instrText xml:space="preserve">" </w:instrText>
      </w:r>
      <w:r>
        <w:rPr>
          <w:highlight w:val="green"/>
        </w:rPr>
        <w:fldChar w:fldCharType="end"/>
      </w:r>
      <w:r>
        <w:t xml:space="preserve">, au même titre que le marketing ou la finance ; mais c’est avant tout une </w:t>
      </w:r>
      <w:r>
        <w:rPr>
          <w:b/>
          <w:bCs/>
        </w:rPr>
        <w:t>fonction</w:t>
      </w:r>
      <w:r>
        <w:t xml:space="preserve"> qui occupe dans toutes les organisations, quelle que soit leur nature (entreprises publiques ou privées, à but lucratif ou pas…), une place croissante, et un </w:t>
      </w:r>
      <w:r>
        <w:rPr>
          <w:b/>
          <w:bCs/>
        </w:rPr>
        <w:t>métier</w:t>
      </w:r>
      <w:r>
        <w:t xml:space="preserve"> qui exige une qualification précise.</w:t>
      </w:r>
    </w:p>
    <w:p w14:paraId="58EF90D7" w14:textId="77777777" w:rsidR="005D07A6" w:rsidRDefault="00F42774">
      <w:pPr>
        <w:pStyle w:val="T4"/>
      </w:pPr>
      <w:r>
        <w:t>I.</w:t>
      </w:r>
      <w:r>
        <w:tab/>
        <w:t>Définitions</w:t>
      </w:r>
    </w:p>
    <w:p w14:paraId="79947F9D" w14:textId="77777777" w:rsidR="005D07A6" w:rsidRDefault="00F42774">
      <w:pPr>
        <w:pStyle w:val="debutfilet"/>
      </w:pPr>
      <w:r>
        <w:t>Definition</w:t>
      </w:r>
    </w:p>
    <w:p w14:paraId="50F09F5F" w14:textId="77777777" w:rsidR="005D07A6" w:rsidRDefault="00F42774">
      <w:pPr>
        <w:pStyle w:val="LibelleRubrique"/>
      </w:pPr>
      <w:r>
        <w:t>Définition</w:t>
      </w:r>
    </w:p>
    <w:p w14:paraId="3A1EEABC" w14:textId="77777777" w:rsidR="005D07A6" w:rsidRDefault="00F42774">
      <w:pPr>
        <w:pStyle w:val="CT"/>
      </w:pPr>
      <w:r>
        <w:lastRenderedPageBreak/>
        <w:t xml:space="preserve">Le </w:t>
      </w:r>
      <w:r>
        <w:rPr>
          <w:b/>
          <w:bCs/>
          <w:i/>
          <w:iCs/>
          <w:color w:val="FF0000"/>
        </w:rPr>
        <w:t>contrôle de gestion</w:t>
      </w:r>
      <w:r>
        <w:t xml:space="preserve"> est l’ensemble des procédures permettant à la direction (aux managers) de s’assurer que les objectifs poursuivis par une organisation (une entreprise, un service…) sont atteints de manière efficiente.</w:t>
      </w:r>
    </w:p>
    <w:p w14:paraId="4F20055D" w14:textId="77777777" w:rsidR="005D07A6" w:rsidRDefault="00F42774">
      <w:pPr>
        <w:pStyle w:val="CT"/>
      </w:pPr>
      <w:r>
        <w:t xml:space="preserve">On peut retenir aussi que le contrôle de gestion est l’art de </w:t>
      </w:r>
      <w:r>
        <w:rPr>
          <w:b/>
          <w:bCs/>
        </w:rPr>
        <w:t>piloter les comportements</w:t>
      </w:r>
      <w:r>
        <w:t xml:space="preserve"> des acteurs d’une organisation.</w:t>
      </w:r>
    </w:p>
    <w:p w14:paraId="1A7A9D2D" w14:textId="77777777" w:rsidR="005D07A6" w:rsidRDefault="00F42774">
      <w:pPr>
        <w:pStyle w:val="finfilet"/>
      </w:pPr>
      <w:r>
        <w:t>Fin Definition</w:t>
      </w:r>
    </w:p>
    <w:p w14:paraId="6CEC7966" w14:textId="77777777" w:rsidR="005D07A6" w:rsidRDefault="00F42774">
      <w:pPr>
        <w:pStyle w:val="CTEspDessous"/>
      </w:pPr>
      <w:r>
        <w:t xml:space="preserve">Comme généralement, du fait de la division du travail, il est nécessaire de déléguer des responsabilités (la direction ne peut pas tout faire…), le contrôle de gestion doit permettre de s’assurer que </w:t>
      </w:r>
      <w:r>
        <w:rPr>
          <w:b/>
          <w:bCs/>
        </w:rPr>
        <w:t>les comportements individuels vont bien dans le sens de ces objectifs</w:t>
      </w:r>
      <w:r>
        <w:t>. On peut parler de « convergence des buts ». On dit aussi que le contrôle de gestion est un mode de pilotage des comportements.</w:t>
      </w:r>
    </w:p>
    <w:p w14:paraId="46FA24C8" w14:textId="77777777" w:rsidR="005D07A6" w:rsidRDefault="00F42774">
      <w:pPr>
        <w:pStyle w:val="CTEspDessous"/>
      </w:pPr>
      <w:r>
        <w:t>L’expression « </w:t>
      </w:r>
      <w:r>
        <w:rPr>
          <w:b/>
          <w:bCs/>
        </w:rPr>
        <w:t>contrôle de gestion</w:t>
      </w:r>
      <w:r>
        <w:t> »</w:t>
      </w:r>
      <w:r>
        <w:rPr>
          <w:highlight w:val="green"/>
        </w:rPr>
        <w:fldChar w:fldCharType="begin"/>
      </w:r>
      <w:r>
        <w:rPr>
          <w:highlight w:val="green"/>
        </w:rPr>
        <w:instrText xml:space="preserve"> XE "</w:instrText>
      </w:r>
      <w:r>
        <w:rPr>
          <w:noProof/>
          <w:highlight w:val="green"/>
        </w:rPr>
        <w:instrText>Contrôle</w:instrText>
      </w:r>
      <w:r>
        <w:rPr>
          <w:highlight w:val="green"/>
        </w:rPr>
        <w:instrText>:</w:instrText>
      </w:r>
      <w:r>
        <w:rPr>
          <w:noProof/>
          <w:highlight w:val="green"/>
        </w:rPr>
        <w:instrText>– de gestion</w:instrText>
      </w:r>
      <w:r>
        <w:rPr>
          <w:highlight w:val="green"/>
        </w:rPr>
        <w:instrText xml:space="preserve">" </w:instrText>
      </w:r>
      <w:r>
        <w:rPr>
          <w:highlight w:val="green"/>
        </w:rPr>
        <w:fldChar w:fldCharType="end"/>
      </w:r>
      <w:r>
        <w:t xml:space="preserve"> telle qu’elle est utilisée en sciences de gestion est, à l’origine, la traduction de l’expression anglaise </w:t>
      </w:r>
      <w:r>
        <w:rPr>
          <w:b/>
          <w:bCs/>
          <w:i/>
          <w:iCs/>
        </w:rPr>
        <w:t>management</w:t>
      </w:r>
      <w:r>
        <w:rPr>
          <w:b/>
          <w:bCs/>
        </w:rPr>
        <w:t xml:space="preserve"> </w:t>
      </w:r>
      <w:r>
        <w:rPr>
          <w:b/>
          <w:bCs/>
          <w:i/>
          <w:iCs/>
        </w:rPr>
        <w:t>control</w:t>
      </w:r>
      <w:r>
        <w:rPr>
          <w:highlight w:val="green"/>
        </w:rPr>
        <w:fldChar w:fldCharType="begin"/>
      </w:r>
      <w:r>
        <w:rPr>
          <w:highlight w:val="green"/>
        </w:rPr>
        <w:instrText xml:space="preserve"> XE "</w:instrText>
      </w:r>
      <w:r>
        <w:rPr>
          <w:noProof/>
          <w:highlight w:val="green"/>
        </w:rPr>
        <w:instrText>Management</w:instrText>
      </w:r>
      <w:r>
        <w:rPr>
          <w:highlight w:val="green"/>
        </w:rPr>
        <w:instrText>:</w:instrText>
      </w:r>
      <w:r>
        <w:rPr>
          <w:noProof/>
          <w:highlight w:val="green"/>
        </w:rPr>
        <w:instrText>– management control</w:instrText>
      </w:r>
      <w:r>
        <w:rPr>
          <w:highlight w:val="green"/>
        </w:rPr>
        <w:instrText xml:space="preserve">" </w:instrText>
      </w:r>
      <w:r>
        <w:rPr>
          <w:highlight w:val="green"/>
        </w:rPr>
        <w:fldChar w:fldCharType="end"/>
      </w:r>
      <w:r>
        <w:t>. Cette traduction est cependant imparfaite, car le sens du terme « management » ne recouvre que partiellement celui de « gestion ». Il y a dans le terme « management » une dimension humaine qu’il n’y a pas nécessairement dans le terme « gestion ». Le terme « manager »</w:t>
      </w:r>
      <w:r>
        <w:rPr>
          <w:highlight w:val="green"/>
        </w:rPr>
        <w:fldChar w:fldCharType="begin"/>
      </w:r>
      <w:r>
        <w:rPr>
          <w:highlight w:val="green"/>
        </w:rPr>
        <w:instrText xml:space="preserve"> XE "</w:instrText>
      </w:r>
      <w:r>
        <w:rPr>
          <w:noProof/>
          <w:highlight w:val="green"/>
        </w:rPr>
        <w:instrText>Manager</w:instrText>
      </w:r>
      <w:r>
        <w:rPr>
          <w:highlight w:val="green"/>
        </w:rPr>
        <w:instrText xml:space="preserve">" </w:instrText>
      </w:r>
      <w:r>
        <w:rPr>
          <w:highlight w:val="green"/>
        </w:rPr>
        <w:fldChar w:fldCharType="end"/>
      </w:r>
      <w:r>
        <w:t xml:space="preserve"> peut d’ailleurs être traduit par </w:t>
      </w:r>
      <w:r>
        <w:rPr>
          <w:b/>
          <w:bCs/>
        </w:rPr>
        <w:t>pilote</w:t>
      </w:r>
      <w:r>
        <w:t xml:space="preserve">, </w:t>
      </w:r>
      <w:r>
        <w:rPr>
          <w:b/>
          <w:bCs/>
        </w:rPr>
        <w:t>dirigeant</w:t>
      </w:r>
      <w:r>
        <w:t xml:space="preserve"> ou </w:t>
      </w:r>
      <w:r>
        <w:rPr>
          <w:b/>
          <w:bCs/>
        </w:rPr>
        <w:t>directeur</w:t>
      </w:r>
      <w:r>
        <w:t xml:space="preserve"> (celui qui donne la direction).</w:t>
      </w:r>
    </w:p>
    <w:p w14:paraId="0561E7B3" w14:textId="77777777" w:rsidR="005D07A6" w:rsidRDefault="00F42774">
      <w:pPr>
        <w:pStyle w:val="debutfilet"/>
      </w:pPr>
      <w:r>
        <w:t>Definition</w:t>
      </w:r>
    </w:p>
    <w:p w14:paraId="180265BE" w14:textId="77777777" w:rsidR="005D07A6" w:rsidRDefault="00F42774">
      <w:pPr>
        <w:pStyle w:val="LibelleRubrique"/>
      </w:pPr>
      <w:r>
        <w:t>Définition</w:t>
      </w:r>
    </w:p>
    <w:p w14:paraId="2F05E7D7" w14:textId="77777777" w:rsidR="005D07A6" w:rsidRDefault="00F42774">
      <w:pPr>
        <w:pStyle w:val="CT"/>
      </w:pPr>
      <w:r>
        <w:t xml:space="preserve">Le </w:t>
      </w:r>
      <w:r>
        <w:rPr>
          <w:b/>
          <w:bCs/>
          <w:i/>
          <w:iCs/>
          <w:color w:val="FF0000"/>
        </w:rPr>
        <w:t>management</w:t>
      </w:r>
      <w:r>
        <w:rPr>
          <w:highlight w:val="green"/>
        </w:rPr>
        <w:fldChar w:fldCharType="begin"/>
      </w:r>
      <w:r>
        <w:rPr>
          <w:highlight w:val="green"/>
        </w:rPr>
        <w:instrText xml:space="preserve"> XE "</w:instrText>
      </w:r>
      <w:r>
        <w:rPr>
          <w:noProof/>
          <w:highlight w:val="green"/>
        </w:rPr>
        <w:instrText>Management</w:instrText>
      </w:r>
      <w:r>
        <w:rPr>
          <w:highlight w:val="green"/>
        </w:rPr>
        <w:instrText xml:space="preserve">" </w:instrText>
      </w:r>
      <w:r>
        <w:rPr>
          <w:highlight w:val="green"/>
        </w:rPr>
        <w:fldChar w:fldCharType="end"/>
      </w:r>
      <w:r>
        <w:t xml:space="preserve"> consiste à atteindre un objectif par l’intermédiaire d’autres personnes.</w:t>
      </w:r>
    </w:p>
    <w:p w14:paraId="109BF754" w14:textId="77777777" w:rsidR="005D07A6" w:rsidRDefault="00F42774">
      <w:pPr>
        <w:pStyle w:val="finfilet"/>
      </w:pPr>
      <w:r>
        <w:t>Fin Definition</w:t>
      </w:r>
    </w:p>
    <w:p w14:paraId="4A6C0B49" w14:textId="77777777" w:rsidR="005D07A6" w:rsidRDefault="00F42774">
      <w:pPr>
        <w:pStyle w:val="CTEspDessous"/>
      </w:pPr>
      <w:r>
        <w:t xml:space="preserve">Le </w:t>
      </w:r>
      <w:r>
        <w:rPr>
          <w:b/>
          <w:bCs/>
        </w:rPr>
        <w:t>management</w:t>
      </w:r>
      <w:r>
        <w:t xml:space="preserve"> est un terme à dimensions multiples. Un directeur général fixe des objectifs à ses directeurs fonctionnels, mais un chef de rayon fixe des objectifs à ses vendeurs. Tous deux sont des managers, car tous deux doivent atteindre des objectifs par l’intermédiaire d’autres personnes.</w:t>
      </w:r>
    </w:p>
    <w:p w14:paraId="2DF9CB15" w14:textId="77777777" w:rsidR="005D07A6" w:rsidRDefault="00F42774">
      <w:pPr>
        <w:pStyle w:val="debutfilet"/>
      </w:pPr>
      <w:r>
        <w:t>Definition</w:t>
      </w:r>
    </w:p>
    <w:p w14:paraId="62F0BD1E" w14:textId="77777777" w:rsidR="005D07A6" w:rsidRDefault="00F42774">
      <w:pPr>
        <w:pStyle w:val="LibelleRubrique"/>
      </w:pPr>
      <w:r>
        <w:t>Définition</w:t>
      </w:r>
    </w:p>
    <w:p w14:paraId="48941598" w14:textId="77777777" w:rsidR="005D07A6" w:rsidRDefault="00F42774">
      <w:pPr>
        <w:pStyle w:val="CT"/>
      </w:pPr>
      <w:r>
        <w:t xml:space="preserve">La </w:t>
      </w:r>
      <w:r>
        <w:rPr>
          <w:b/>
          <w:bCs/>
          <w:i/>
          <w:iCs/>
          <w:color w:val="FF0000"/>
        </w:rPr>
        <w:t>gestion</w:t>
      </w:r>
      <w:r>
        <w:rPr>
          <w:highlight w:val="green"/>
        </w:rPr>
        <w:fldChar w:fldCharType="begin"/>
      </w:r>
      <w:r>
        <w:rPr>
          <w:highlight w:val="green"/>
        </w:rPr>
        <w:instrText xml:space="preserve"> XE "</w:instrText>
      </w:r>
      <w:r>
        <w:rPr>
          <w:noProof/>
          <w:highlight w:val="green"/>
        </w:rPr>
        <w:instrText>Gestion</w:instrText>
      </w:r>
      <w:r>
        <w:rPr>
          <w:highlight w:val="green"/>
        </w:rPr>
        <w:instrText xml:space="preserve">" </w:instrText>
      </w:r>
      <w:r>
        <w:rPr>
          <w:highlight w:val="green"/>
        </w:rPr>
        <w:fldChar w:fldCharType="end"/>
      </w:r>
      <w:r>
        <w:t xml:space="preserve"> consiste à atteindre un objectif de manière efficace ou efficiente.</w:t>
      </w:r>
    </w:p>
    <w:p w14:paraId="740D3F0F" w14:textId="77777777" w:rsidR="005D07A6" w:rsidRDefault="00F42774">
      <w:pPr>
        <w:pStyle w:val="finfilet"/>
      </w:pPr>
      <w:r>
        <w:t>Fin Definition</w:t>
      </w:r>
    </w:p>
    <w:p w14:paraId="3B39104B" w14:textId="77777777" w:rsidR="005D07A6" w:rsidRDefault="00F42774">
      <w:pPr>
        <w:pStyle w:val="CTEspDessous"/>
      </w:pPr>
      <w:r>
        <w:t>Notons qu’il n’y a pas de hiérarchie entre les deux termes « gestion » et « management ». Ce sont deux concepts qui ne se recouvrent pas parfaitement. Par exemple, on peut « gérer » mais pas « manager » son capital santé ; on peut « gérer » mais pas « manager » son temps… « Manager », c’est gérer des humains.</w:t>
      </w:r>
    </w:p>
    <w:p w14:paraId="1732F22D" w14:textId="77777777" w:rsidR="005D07A6" w:rsidRDefault="00F42774">
      <w:pPr>
        <w:pStyle w:val="CTEspDessous"/>
      </w:pPr>
      <w:r>
        <w:t>En économie et en sciences de gestion, il est d’usage de faire la distinction entre efficacité et efficience, même si, il faut le souligner, cette distinction n’existe pas dans le langage courant (le mot efficience étant un anglicisme).</w:t>
      </w:r>
    </w:p>
    <w:p w14:paraId="18817587" w14:textId="77777777" w:rsidR="005D07A6" w:rsidRDefault="00F42774">
      <w:pPr>
        <w:pStyle w:val="debutfilet"/>
      </w:pPr>
      <w:r>
        <w:t>Definition</w:t>
      </w:r>
    </w:p>
    <w:p w14:paraId="398672F7" w14:textId="77777777" w:rsidR="005D07A6" w:rsidRDefault="00F42774">
      <w:pPr>
        <w:pStyle w:val="LibelleRubrique"/>
      </w:pPr>
      <w:r>
        <w:t>Définition</w:t>
      </w:r>
    </w:p>
    <w:p w14:paraId="75F54D09" w14:textId="77777777" w:rsidR="005D07A6" w:rsidRDefault="00F42774">
      <w:pPr>
        <w:pStyle w:val="CT"/>
      </w:pPr>
      <w:r>
        <w:t>L’</w:t>
      </w:r>
      <w:r>
        <w:rPr>
          <w:b/>
          <w:bCs/>
          <w:i/>
          <w:iCs/>
          <w:color w:val="FF0000"/>
        </w:rPr>
        <w:t>efficacité</w:t>
      </w:r>
      <w:r>
        <w:rPr>
          <w:highlight w:val="green"/>
        </w:rPr>
        <w:fldChar w:fldCharType="begin"/>
      </w:r>
      <w:r>
        <w:rPr>
          <w:highlight w:val="green"/>
        </w:rPr>
        <w:instrText xml:space="preserve"> XE "</w:instrText>
      </w:r>
      <w:r>
        <w:rPr>
          <w:noProof/>
          <w:highlight w:val="green"/>
        </w:rPr>
        <w:instrText>Efficacité</w:instrText>
      </w:r>
      <w:r>
        <w:rPr>
          <w:highlight w:val="green"/>
        </w:rPr>
        <w:instrText xml:space="preserve">" </w:instrText>
      </w:r>
      <w:r>
        <w:rPr>
          <w:highlight w:val="green"/>
        </w:rPr>
        <w:fldChar w:fldCharType="end"/>
      </w:r>
      <w:r>
        <w:t xml:space="preserve"> consiste à atteindre un objectif.</w:t>
      </w:r>
    </w:p>
    <w:p w14:paraId="5E995445" w14:textId="77777777" w:rsidR="005D07A6" w:rsidRDefault="00F42774">
      <w:pPr>
        <w:pStyle w:val="finfilet"/>
      </w:pPr>
      <w:r>
        <w:t>Fin Definition</w:t>
      </w:r>
    </w:p>
    <w:p w14:paraId="3B42BA9A" w14:textId="77777777" w:rsidR="005D07A6" w:rsidRDefault="00F42774">
      <w:pPr>
        <w:pStyle w:val="debutfilet"/>
      </w:pPr>
      <w:r>
        <w:t>Definition</w:t>
      </w:r>
    </w:p>
    <w:p w14:paraId="09FD7021" w14:textId="77777777" w:rsidR="005D07A6" w:rsidRDefault="00F42774">
      <w:pPr>
        <w:pStyle w:val="LibelleRubrique"/>
      </w:pPr>
      <w:r>
        <w:t>Définition</w:t>
      </w:r>
    </w:p>
    <w:p w14:paraId="5AC34EB8" w14:textId="77777777" w:rsidR="005D07A6" w:rsidRDefault="00F42774">
      <w:pPr>
        <w:pStyle w:val="CT"/>
      </w:pPr>
      <w:r>
        <w:t>L’</w:t>
      </w:r>
      <w:r>
        <w:rPr>
          <w:b/>
          <w:bCs/>
          <w:i/>
          <w:iCs/>
          <w:color w:val="FF0000"/>
        </w:rPr>
        <w:t>efficience</w:t>
      </w:r>
      <w:r>
        <w:rPr>
          <w:highlight w:val="green"/>
        </w:rPr>
        <w:fldChar w:fldCharType="begin"/>
      </w:r>
      <w:r>
        <w:rPr>
          <w:highlight w:val="green"/>
        </w:rPr>
        <w:instrText xml:space="preserve"> XE "</w:instrText>
      </w:r>
      <w:r>
        <w:rPr>
          <w:noProof/>
          <w:highlight w:val="green"/>
        </w:rPr>
        <w:instrText>Efficience</w:instrText>
      </w:r>
      <w:r>
        <w:rPr>
          <w:highlight w:val="green"/>
        </w:rPr>
        <w:instrText xml:space="preserve">" </w:instrText>
      </w:r>
      <w:r>
        <w:rPr>
          <w:highlight w:val="green"/>
        </w:rPr>
        <w:fldChar w:fldCharType="end"/>
      </w:r>
      <w:r>
        <w:t xml:space="preserve"> consiste à atteindre un objectif en minimisant les ressources utilisées.</w:t>
      </w:r>
    </w:p>
    <w:p w14:paraId="11AFD38B" w14:textId="77777777" w:rsidR="005D07A6" w:rsidRDefault="00F42774">
      <w:pPr>
        <w:pStyle w:val="finfilet"/>
      </w:pPr>
      <w:r>
        <w:t>Fin Definition</w:t>
      </w:r>
    </w:p>
    <w:p w14:paraId="21534826" w14:textId="77777777" w:rsidR="005D07A6" w:rsidRDefault="00F42774">
      <w:pPr>
        <w:pStyle w:val="CTEspDessous"/>
      </w:pPr>
      <w:r>
        <w:t xml:space="preserve">Dans le domaine militaire par exemple, un officier a reçu l’ordre de prendre d’assaut une position ennemie. L’efficacité consiste à effectivement prendre la position. Mais le </w:t>
      </w:r>
      <w:r>
        <w:lastRenderedPageBreak/>
        <w:t>problème, c’est de savoir à quel prix, c’est-à-dire avec quelles pertes en vies humaines. L’action ne sera efficiente que si les pertes sont jugées acceptables par rapport aux enjeux stratégiques, sachant par ailleurs que le « zéro victime » est irréaliste. Si la position est effectivement prise mais que la division est presque totalement décimée, ce qui rend impossible de pouvoir affronter les batailles futures, l’action n’est pas efficiente. De la même façon, si un directeur commercial atteint son objectif de ventes en volume, mais au prix de rabais très importants qui annulent le bénéfice, son action est efficace, mais pas efficiente.</w:t>
      </w:r>
    </w:p>
    <w:p w14:paraId="1303ACAE" w14:textId="77777777" w:rsidR="005D07A6" w:rsidRDefault="00F42774">
      <w:pPr>
        <w:pStyle w:val="CTEspDessous"/>
      </w:pPr>
      <w:r>
        <w:t>Le contrôle de gestion est donc un contrôle exercé par le dirigeant sur ses subordonnés pour qu’ils atteignent un objectif.</w:t>
      </w:r>
    </w:p>
    <w:p w14:paraId="0F043EA5" w14:textId="77777777" w:rsidR="005D07A6" w:rsidRDefault="00F42774">
      <w:pPr>
        <w:pStyle w:val="T4"/>
      </w:pPr>
      <w:r>
        <w:t>II.</w:t>
      </w:r>
      <w:r>
        <w:tab/>
        <w:t>Le mot « contrôle »</w:t>
      </w:r>
    </w:p>
    <w:p w14:paraId="30E3F298" w14:textId="77777777" w:rsidR="005D07A6" w:rsidRDefault="00F42774">
      <w:pPr>
        <w:pStyle w:val="CTEspDessous"/>
      </w:pPr>
      <w:r>
        <w:t>Étymologiquement parlant, le terme contrôle vient de l’expression « </w:t>
      </w:r>
      <w:r>
        <w:rPr>
          <w:b/>
          <w:bCs/>
        </w:rPr>
        <w:t>contre-rôle</w:t>
      </w:r>
      <w:r>
        <w:rPr>
          <w:highlight w:val="green"/>
        </w:rPr>
        <w:fldChar w:fldCharType="begin"/>
      </w:r>
      <w:r>
        <w:rPr>
          <w:highlight w:val="green"/>
        </w:rPr>
        <w:instrText xml:space="preserve"> XE "</w:instrText>
      </w:r>
      <w:r>
        <w:rPr>
          <w:noProof/>
          <w:highlight w:val="green"/>
        </w:rPr>
        <w:instrText>Contre-rôle</w:instrText>
      </w:r>
      <w:r>
        <w:rPr>
          <w:highlight w:val="green"/>
        </w:rPr>
        <w:instrText xml:space="preserve">" </w:instrText>
      </w:r>
      <w:r>
        <w:rPr>
          <w:highlight w:val="green"/>
        </w:rPr>
        <w:fldChar w:fldCharType="end"/>
      </w:r>
      <w:r>
        <w:t xml:space="preserve"> », qui désignait il y a quelques siècles un </w:t>
      </w:r>
      <w:r>
        <w:rPr>
          <w:b/>
          <w:bCs/>
        </w:rPr>
        <w:t>document permettant d’opérer une vérification</w:t>
      </w:r>
      <w:r>
        <w:t xml:space="preserve"> pour éviter erreurs et malversations. Par exemple, pour payer les soldats d’une armée, on établissait la liste des soldats présents (cette liste étant consignée sur un rouleau de parchemin, un « rôle ») et on la comparait avec un autre rôle, la liste des soldats « enrôlés » par le sergent recruteur. Le soldat qui s’engageait (il n’y avait pas de conscription comme dans les états contemporains) était « enrôlé », c’est-à-dire inscrit sur le rôle… Donc, pour éviter les malversations et ne pas verser la solde à des soldats fantômes, on vérifiait la conformité entre un rôle et un contre-rôle, un second document que l’on mettait à côté, « contre » le premier, pour faire une vérification par rapprochement. Un soldat n’était payé que si on avait la preuve qu’il avait bien été enrôlé…</w:t>
      </w:r>
    </w:p>
    <w:p w14:paraId="33DE82F7" w14:textId="77777777" w:rsidR="005D07A6" w:rsidRDefault="00F42774">
      <w:pPr>
        <w:pStyle w:val="CTEspDessous"/>
      </w:pPr>
      <w:r>
        <w:t xml:space="preserve">II est important de préciser que </w:t>
      </w:r>
      <w:r>
        <w:rPr>
          <w:b/>
          <w:bCs/>
        </w:rPr>
        <w:t>le terme de « contrôle » a deux dimensions</w:t>
      </w:r>
      <w:r>
        <w:t xml:space="preserve">. La première dimension est celle de la </w:t>
      </w:r>
      <w:r>
        <w:rPr>
          <w:b/>
          <w:bCs/>
        </w:rPr>
        <w:t>vérification</w:t>
      </w:r>
      <w:r>
        <w:t>. C’est le sens pris lorsque l’on parle d’un contrôle d’identité, d’un contrôle fiscal ou d’un contrôle des connaissances.</w:t>
      </w:r>
    </w:p>
    <w:p w14:paraId="7A531E16" w14:textId="77777777" w:rsidR="005D07A6" w:rsidRDefault="00F42774">
      <w:pPr>
        <w:pStyle w:val="CT"/>
      </w:pPr>
      <w:r>
        <w:t xml:space="preserve">La seconde dimension est celle de la </w:t>
      </w:r>
      <w:r>
        <w:rPr>
          <w:b/>
          <w:bCs/>
        </w:rPr>
        <w:t>maîtrise</w:t>
      </w:r>
      <w:r>
        <w:t>. C’est le sens pris dans l’expression « avoir le contrôle de son véhicule » ou « avoir le contrôle de la situation », ou encore le contrôle de soi, le contrôle aérien, le contrôle des naissances… Cette seconde dimension renvoie directement au rôle de pilote du dirigeant, celui d’orienter les décisions de ses subordonnés, celui d’incitation.</w:t>
      </w:r>
    </w:p>
    <w:p w14:paraId="61B62275" w14:textId="77777777" w:rsidR="005D07A6" w:rsidRDefault="00F42774">
      <w:pPr>
        <w:pStyle w:val="CT"/>
      </w:pPr>
      <w:r>
        <w:t>En définitive, définir le contrôle de gestion, c’est inévitablement développer les deux dimensions (vérification/incitation)</w:t>
      </w:r>
      <w:r>
        <w:rPr>
          <w:highlight w:val="green"/>
        </w:rPr>
        <w:fldChar w:fldCharType="begin"/>
      </w:r>
      <w:r>
        <w:rPr>
          <w:highlight w:val="green"/>
        </w:rPr>
        <w:instrText xml:space="preserve"> XE "</w:instrText>
      </w:r>
      <w:r>
        <w:rPr>
          <w:noProof/>
          <w:highlight w:val="green"/>
        </w:rPr>
        <w:instrText>Vérification</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Incitation</w:instrText>
      </w:r>
      <w:r>
        <w:rPr>
          <w:highlight w:val="green"/>
        </w:rPr>
        <w:instrText xml:space="preserve">" </w:instrText>
      </w:r>
      <w:r>
        <w:rPr>
          <w:highlight w:val="green"/>
        </w:rPr>
        <w:fldChar w:fldCharType="end"/>
      </w:r>
      <w:r>
        <w:t> :</w:t>
      </w:r>
    </w:p>
    <w:p w14:paraId="2354D512" w14:textId="77777777" w:rsidR="005D07A6" w:rsidRDefault="00F42774">
      <w:pPr>
        <w:pStyle w:val="ET"/>
      </w:pPr>
      <w:r>
        <w:t xml:space="preserve">le contrôle de gestion est un ensemble de procédures qui permet au dirigeant de fixer des objectifs, donc </w:t>
      </w:r>
      <w:r>
        <w:rPr>
          <w:b/>
          <w:bCs/>
        </w:rPr>
        <w:t>d’inciter ses subordonnés</w:t>
      </w:r>
      <w:r>
        <w:t xml:space="preserve"> à œuvrer dans le sens fixé pour l’organisation ;</w:t>
      </w:r>
    </w:p>
    <w:p w14:paraId="087EE2F7" w14:textId="77777777" w:rsidR="005D07A6" w:rsidRDefault="00F42774">
      <w:pPr>
        <w:pStyle w:val="ET"/>
      </w:pPr>
      <w:r>
        <w:t xml:space="preserve">et le contrôle de gestion est un ensemble de procédures qui permettent au dirigeant de </w:t>
      </w:r>
      <w:r>
        <w:rPr>
          <w:b/>
          <w:bCs/>
        </w:rPr>
        <w:t>vérifier que les objectifs</w:t>
      </w:r>
      <w:r>
        <w:t xml:space="preserve"> qu’il fixe à ses subordonnés </w:t>
      </w:r>
      <w:r>
        <w:rPr>
          <w:b/>
          <w:bCs/>
        </w:rPr>
        <w:t>sont atteints</w:t>
      </w:r>
      <w:r>
        <w:t>.</w:t>
      </w:r>
    </w:p>
    <w:p w14:paraId="06D5E5E4" w14:textId="77777777" w:rsidR="005D07A6" w:rsidRDefault="00F42774">
      <w:pPr>
        <w:pStyle w:val="debutfilet"/>
      </w:pPr>
      <w:r>
        <w:t>Remarque</w:t>
      </w:r>
    </w:p>
    <w:p w14:paraId="56E10C3B" w14:textId="77777777" w:rsidR="005D07A6" w:rsidRDefault="00F42774">
      <w:pPr>
        <w:pStyle w:val="LibelleRubrique"/>
      </w:pPr>
      <w:r>
        <w:t>Remarque</w:t>
      </w:r>
    </w:p>
    <w:p w14:paraId="129F1A50" w14:textId="77777777" w:rsidR="005D07A6" w:rsidRDefault="00F42774">
      <w:pPr>
        <w:pStyle w:val="CT"/>
      </w:pPr>
      <w:r>
        <w:rPr>
          <w:b/>
          <w:bCs/>
        </w:rPr>
        <w:t xml:space="preserve">Contrôle et </w:t>
      </w:r>
      <w:r>
        <w:rPr>
          <w:b/>
          <w:bCs/>
          <w:i/>
          <w:iCs/>
        </w:rPr>
        <w:t>control</w:t>
      </w:r>
      <w:r>
        <w:rPr>
          <w:b/>
          <w:bCs/>
        </w:rPr>
        <w:t> :</w:t>
      </w:r>
      <w:r>
        <w:t xml:space="preserve"> dans de nombreux manuels, cette dimension « maîtrise » du contrôle est présentée comme propre au terme anglais </w:t>
      </w:r>
      <w:r>
        <w:rPr>
          <w:i/>
          <w:iCs/>
        </w:rPr>
        <w:t>control</w:t>
      </w:r>
      <w:r>
        <w:t>. Pourtant, en français aussi, le mot « contrôle » possède les deux sens de « vérification » et de « maîtrise ».</w:t>
      </w:r>
    </w:p>
    <w:p w14:paraId="7CC13198" w14:textId="77777777" w:rsidR="005D07A6" w:rsidRDefault="00F42774">
      <w:pPr>
        <w:pStyle w:val="finfilet"/>
      </w:pPr>
      <w:r>
        <w:t>Fin Remarque</w:t>
      </w:r>
    </w:p>
    <w:p w14:paraId="1A989FD0" w14:textId="77777777" w:rsidR="005D07A6" w:rsidRDefault="00F42774">
      <w:pPr>
        <w:pStyle w:val="T4"/>
      </w:pPr>
      <w:r>
        <w:t>III.</w:t>
      </w:r>
      <w:r>
        <w:tab/>
        <w:t>Le contrôle de gestion et la comptabilité de gestion</w:t>
      </w:r>
    </w:p>
    <w:p w14:paraId="6C37B152" w14:textId="77777777" w:rsidR="005D07A6" w:rsidRDefault="00F42774">
      <w:pPr>
        <w:pStyle w:val="CTEspDessous"/>
      </w:pPr>
      <w:r>
        <w:t>L’efficience des décisions de gestion dépend des informations dont dispose le dirigeant. Il ne peut y avoir de bonne décision sans système d’information. La comptabilité de gestion est un système d’information destiné à éclairer les décisions du dirigeant, Mais si le contrôle de gestion s’appuie sur la comptabilité de gestion, il ne se réduit pas à la comptabilité de gestion.</w:t>
      </w:r>
    </w:p>
    <w:p w14:paraId="2F9A90EC" w14:textId="77777777" w:rsidR="005D07A6" w:rsidRDefault="00F42774">
      <w:pPr>
        <w:pStyle w:val="CTEspDessous"/>
      </w:pPr>
      <w:r>
        <w:lastRenderedPageBreak/>
        <w:t xml:space="preserve">Le contrôle de gestion peut être amené à utiliser des informations autres que comptables. Par exemple, des indices de satisfaction client, des délais de paiement ou de livraison, des indices de qualité, etc., permettent au dirigeant de « contrôler » ses subordonnés. Si l’on compare les définitions de la comptabilité de gestion et du contrôle de gestion, on constate que </w:t>
      </w:r>
      <w:r>
        <w:rPr>
          <w:b/>
          <w:bCs/>
        </w:rPr>
        <w:t>la comptabilité de gestion est un « système d’information »</w:t>
      </w:r>
      <w:r>
        <w:t xml:space="preserve"> (essentiellement quantitatif et exprimé en valeur monétaire) alors que </w:t>
      </w:r>
      <w:r>
        <w:rPr>
          <w:b/>
          <w:bCs/>
        </w:rPr>
        <w:t>le contrôle de gestion est un « processus », un « ensemble de procédures »</w:t>
      </w:r>
      <w:r>
        <w:t xml:space="preserve"> permettant le pilotage des comportements. Le contrôle de gestion est plus large que la comptabilité de gestion. Il inclut des problématiques de délégation de pouvoir, de découpage de l’entreprise en centres de responsabilité, des procédures de contrôle budgétaire, de prix de cessions internes, de tableaux de bords, de modélisations mathématiques, d’appréciation du risque qui seront développées dans les cours 2 à 4.</w:t>
      </w:r>
    </w:p>
    <w:p w14:paraId="57B68A92" w14:textId="77777777" w:rsidR="005D07A6" w:rsidRDefault="00F42774">
      <w:pPr>
        <w:pStyle w:val="CTEspDessous"/>
      </w:pPr>
      <w:r>
        <w:t xml:space="preserve">Notons que le contrôle de gestion n’apparaît véritablement de façon formalisée (avec des procédures systématiques) que dans les entreprises d’une certaine taille, du fait de la nécessité de diviser le travail, de déléguer les responsabilités, et donc de contrôler les résultats. Le petit commerçant qui gère seul son magasin n’a pas vraiment besoin de contrôle de gestion, mais de gestion tout court (il n’a pas véritablement besoin non plus de la comptabilité, qui est vue essentiellement comme une contrainte fiscale) ; la grande entreprise, avec plusieurs usines et plusieurs agences commerciales régionales, si… On parlera alors d’un </w:t>
      </w:r>
      <w:r>
        <w:rPr>
          <w:highlight w:val="green"/>
        </w:rPr>
        <w:fldChar w:fldCharType="begin"/>
      </w:r>
      <w:r>
        <w:rPr>
          <w:highlight w:val="green"/>
        </w:rPr>
        <w:instrText xml:space="preserve"> XE "</w:instrText>
      </w:r>
      <w:r>
        <w:rPr>
          <w:noProof/>
          <w:highlight w:val="green"/>
        </w:rPr>
        <w:instrText>Système</w:instrText>
      </w:r>
      <w:r>
        <w:rPr>
          <w:highlight w:val="green"/>
        </w:rPr>
        <w:instrText xml:space="preserve">" </w:instrText>
      </w:r>
      <w:r>
        <w:rPr>
          <w:highlight w:val="green"/>
        </w:rPr>
        <w:fldChar w:fldCharType="end"/>
      </w:r>
      <w:r>
        <w:rPr>
          <w:b/>
          <w:bCs/>
        </w:rPr>
        <w:t>système</w:t>
      </w:r>
      <w:r>
        <w:t xml:space="preserve"> de contrôle, qui utilise principalement (mais pas uniquement) des informations d’origine comptable.</w:t>
      </w:r>
    </w:p>
    <w:p w14:paraId="10EEDEE8" w14:textId="77777777" w:rsidR="005D07A6" w:rsidRDefault="00F42774">
      <w:pPr>
        <w:pStyle w:val="T3"/>
      </w:pPr>
      <w:r>
        <w:t>section 2.</w:t>
      </w:r>
      <w:r>
        <w:tab/>
        <w:t>Les objectifs du contrôle de gestion</w:t>
      </w:r>
    </w:p>
    <w:p w14:paraId="36EA11EB" w14:textId="77777777" w:rsidR="005D07A6" w:rsidRDefault="00F42774">
      <w:pPr>
        <w:pStyle w:val="CTEspDessous"/>
      </w:pPr>
      <w:r>
        <w:t>Dans le cas des entreprises, l’objectif est le plus souvent financier : le contrôle de gestion est là pour veiller à la rentabilité du capital investi. Mais il faut relativiser : d’autres objectifs viennent interférer. Les entreprises coopératives ou mutualistes visent le meilleur service à rendre à leurs adhérents : par exemple, une mutuelle d’assurances a pour objectif d’assurer la meilleure couverture des risques pour des primes modérées, pas de faire des bénéfices. Une entreprise publique a des objectifs exprimant l’intérêt général. Une entreprise du secteur du « commerce équitable » intègre l’objectif de mieux rémunérer les petits producteurs. Mais, même si l’objectif n’est pas de maximiser le résultat, il faut au moins équilibrer les comptes et ne pas accumuler les pertes, sinon la pérennité est compromise, et les autres objectifs ne pourront pas être atteints. Il y a donc toujours au moins la contrainte d’une rentabilité minimale, ce qui explique que l’on se focalise beaucoup, en contrôle de gestion, sur les aspects comptables, budgétaires et financiers, et que l’on aborde cette discipline essentiellement dans le cadre des cursus comptables : le contrôle de gestion constitue un débouché « naturel » pour qui a fait des études comptables.</w:t>
      </w:r>
    </w:p>
    <w:p w14:paraId="4CBE4195" w14:textId="77777777" w:rsidR="005D07A6" w:rsidRDefault="00F42774">
      <w:pPr>
        <w:pStyle w:val="CTEspDessous"/>
      </w:pPr>
      <w:r>
        <w:t>Mais disons tout de suite que le contrôle de gestion ne se limite pas aux aspects comptables. Dans certains secteurs, dans le contrôle de gestion des entreprises industrielles utilisant des technologies complexes par exemple, il faut également une bonne compréhension des problèmes techniques, et certains postes de contrôleurs de gestion exigent une formation d’ingénieur. Par ailleurs, le contrôle de gestion met également l’accent sur les aspects psychosociologiques : pour atteindre des objectifs ambitieux, il faut avant tout de la motivation. Dans une très large mesure, le contrôle de gestion est beaucoup plus une question relevant de la GRH (gestion des ressources humaines) que de la gestion comptable et financière.</w:t>
      </w:r>
    </w:p>
    <w:p w14:paraId="39E6C978" w14:textId="77777777" w:rsidR="005D07A6" w:rsidRDefault="00F42774">
      <w:pPr>
        <w:pStyle w:val="CTEspDessous"/>
      </w:pPr>
      <w:r>
        <w:t xml:space="preserve">Il y a donc pluralité des objectifs, et donc pluralité des critères utilisés pour juger les performances. Souvent, dans une première approche, on met en avant la notion de résultat financier, mesuré essentiellement à partir du résultat comptable. Mais ceci est très réducteur et ne doit être pris que comme un </w:t>
      </w:r>
      <w:r>
        <w:rPr>
          <w:b/>
          <w:bCs/>
        </w:rPr>
        <w:t>exemple pour faire comprendre la problématique du contrôle de gestion</w:t>
      </w:r>
      <w:r>
        <w:t xml:space="preserve">. Le résultat comptable ne constitue un bon indicateur de performance que dans des cas particuliers. D’autres critères peuvent être </w:t>
      </w:r>
      <w:r>
        <w:lastRenderedPageBreak/>
        <w:t>retenus comme, par exemple, les gains de productivité. Une entreprise peut voir diminuer sa productivité et néanmoins améliorer son résultat comptable si, par exemple, le cours mondial de ses produits a fortement augmenté. Inversement, une entreprise peut améliorer sa productivité, tout en subissant une hausse du prix de ses achats de matières premières (choc pétrolier, par exemple), qui se traduit par une baisse de son résultat. Il faut tenir compte des « aubaines » comme des handicaps pour juger des performances. Autre exemple : il est stupide d’ironiser sur les « mauvaises performances » d’une entreprise publique si celle-ci applique des tarifs bas imposés par la tutelle gouvernementale. Le déficit d’une entreprise de transports publics ne signifie pas nécessairement que cette entreprise est mal gérée, si la modicité du prix des tarifs a été décidée pour des raisons sociales. Bien au contraire, si cette entreprise réalisait des bénéfices, elle faillirait à sa mission…</w:t>
      </w:r>
    </w:p>
    <w:p w14:paraId="65CBE05A" w14:textId="77777777" w:rsidR="005D07A6" w:rsidRDefault="00F42774">
      <w:pPr>
        <w:pStyle w:val="CTEspDessous"/>
      </w:pPr>
      <w:r>
        <w:t>Par ailleurs, il ne faut pas raisonner uniquement au niveau de l’intérêt des seuls actionnaires, mais intégrer toutes les « parties prenantes » (salariés, consommateurs, public en général). Les aspects environnementaux et plus généralement « sociétaux » doivent être pris en compte. Si une société chimique ou pétrolière réalise de gros bénéfices financiers tout en polluant, donc en causant des « désutilités externes », en « externalisant » certains coûts, ce n’est pas satisfaisant, sa « performance » peut être mise en doute.</w:t>
      </w:r>
    </w:p>
    <w:p w14:paraId="596ABBC7" w14:textId="77777777" w:rsidR="005D07A6" w:rsidRDefault="00F42774">
      <w:pPr>
        <w:pStyle w:val="CTEspDessous"/>
      </w:pPr>
      <w:r>
        <w:t>Il faut donc très souvent se situer au niveau d’une problématique beaucoup plus large que la rationalité financière classique de maximisation du résultat.</w:t>
      </w:r>
    </w:p>
    <w:p w14:paraId="6EB2AE63" w14:textId="77777777" w:rsidR="005D07A6" w:rsidRDefault="00F42774">
      <w:pPr>
        <w:pStyle w:val="CTEspDessous"/>
      </w:pPr>
      <w:r>
        <w:t xml:space="preserve">Même si, </w:t>
      </w:r>
      <w:r>
        <w:rPr>
          <w:i/>
          <w:iCs/>
        </w:rPr>
        <w:t>in fine</w:t>
      </w:r>
      <w:r>
        <w:t>, on retient essentiellement des objectifs financiers (maximiser le résultat, par exemple), on peut chercher à atteindre ces objectifs par des stratégies très différentes. Par exemple, on peut chercher à être moins cher que ses concurrents ou, au contraire, s’en différencier par un niveau de qualité supérieure. Les objectifs, et donc les indicateurs permettant de suivre et de contrôler les performances, peuvent privilégier dans certains cas les aspects quantitatifs et, dans d’autres, les aspects qualitatifs. Ceci a une très grande importance en contrôle de gestion, par exemple pour la conception des tableaux de bords. Une stratégie de domination par les coûts pourra ainsi privilégier des indicateurs comptables et financiers « classiques », alors qu’une stratégie de différenciation pourra mettre en avant des indicateurs plus qualitatifs (respect des délais, satisfaction de la clientèle).</w:t>
      </w:r>
    </w:p>
    <w:p w14:paraId="57D8F7C9" w14:textId="77777777" w:rsidR="005D07A6" w:rsidRDefault="00F42774">
      <w:pPr>
        <w:pStyle w:val="CTEspDessous"/>
      </w:pPr>
      <w:r>
        <w:t>Il faut également évoquer la différence de perspective selon que l’on raisonne à court ou à plus long terme : par exemple, on peut se satisfaire à court terme d’objectifs modestes sur le plan des résultats financiers, si c’est pour prendre des parts de marché et se retrouver quelques années plus tard en position de leader, avec le plus fort taux de rentabilité dans un secteur arrivé à maturité.</w:t>
      </w:r>
    </w:p>
    <w:p w14:paraId="39A6C28C" w14:textId="77777777" w:rsidR="005D07A6" w:rsidRDefault="00F42774">
      <w:pPr>
        <w:pStyle w:val="CTEspDessous"/>
      </w:pPr>
      <w:r>
        <w:t>Il faut enfin évoquer le fait qu’il s’agit d’évaluer les performances de l’entreprise, mais aussi et surtout de localiser au sein de l’entreprise la source de ces performances. Ceci nous renvoie à la notion de benchmarking « interne ».</w:t>
      </w:r>
    </w:p>
    <w:p w14:paraId="4D82373F" w14:textId="77777777" w:rsidR="005D07A6" w:rsidRDefault="00F42774">
      <w:pPr>
        <w:pStyle w:val="debutfilet"/>
      </w:pPr>
      <w:r>
        <w:t>Definition</w:t>
      </w:r>
    </w:p>
    <w:p w14:paraId="178E432E" w14:textId="77777777" w:rsidR="005D07A6" w:rsidRDefault="00F42774">
      <w:pPr>
        <w:pStyle w:val="LibelleRubrique"/>
      </w:pPr>
      <w:r>
        <w:t>Définition</w:t>
      </w:r>
    </w:p>
    <w:p w14:paraId="47B406A4" w14:textId="77777777" w:rsidR="005D07A6" w:rsidRDefault="00F42774">
      <w:pPr>
        <w:pStyle w:val="CT"/>
      </w:pPr>
      <w:r>
        <w:t xml:space="preserve">Le </w:t>
      </w:r>
      <w:r>
        <w:rPr>
          <w:b/>
          <w:bCs/>
          <w:i/>
          <w:iCs/>
          <w:color w:val="FF0000"/>
        </w:rPr>
        <w:t>benchmarking</w:t>
      </w:r>
      <w:r>
        <w:t xml:space="preserve"> est une méthode de diagnostic et d’analyse qui consiste à se comparer aux meilleurs. Le terme de benchmark</w:t>
      </w:r>
      <w:r>
        <w:rPr>
          <w:highlight w:val="green"/>
        </w:rPr>
        <w:fldChar w:fldCharType="begin"/>
      </w:r>
      <w:r>
        <w:rPr>
          <w:highlight w:val="green"/>
        </w:rPr>
        <w:instrText xml:space="preserve"> XE "</w:instrText>
      </w:r>
      <w:r>
        <w:rPr>
          <w:noProof/>
          <w:highlight w:val="green"/>
        </w:rPr>
        <w:instrText>Benchmark</w:instrText>
      </w:r>
      <w:r>
        <w:rPr>
          <w:highlight w:val="green"/>
        </w:rPr>
        <w:instrText xml:space="preserve">" </w:instrText>
      </w:r>
      <w:r>
        <w:rPr>
          <w:highlight w:val="green"/>
        </w:rPr>
        <w:fldChar w:fldCharType="end"/>
      </w:r>
      <w:r>
        <w:t xml:space="preserve"> signifie « jalon » ou « repère » en anglais. Il est parfois traduit en français par « </w:t>
      </w:r>
      <w:r>
        <w:rPr>
          <w:b/>
          <w:bCs/>
        </w:rPr>
        <w:t>étalonnage</w:t>
      </w:r>
      <w:r>
        <w:t> ».</w:t>
      </w:r>
    </w:p>
    <w:p w14:paraId="606F8DA1" w14:textId="77777777" w:rsidR="005D07A6" w:rsidRDefault="00F42774">
      <w:pPr>
        <w:pStyle w:val="finfilet"/>
      </w:pPr>
      <w:r>
        <w:t>Fin Definition</w:t>
      </w:r>
    </w:p>
    <w:p w14:paraId="32994157" w14:textId="77777777" w:rsidR="005D07A6" w:rsidRDefault="00F42774">
      <w:pPr>
        <w:pStyle w:val="CTEspDessous"/>
      </w:pPr>
      <w:r>
        <w:t xml:space="preserve">On parle de benchmarking « externe » </w:t>
      </w:r>
      <w:r>
        <w:rPr>
          <w:highlight w:val="green"/>
        </w:rPr>
        <w:fldChar w:fldCharType="begin"/>
      </w:r>
      <w:r>
        <w:rPr>
          <w:highlight w:val="green"/>
        </w:rPr>
        <w:instrText xml:space="preserve"> XE "</w:instrText>
      </w:r>
      <w:r>
        <w:rPr>
          <w:noProof/>
          <w:highlight w:val="green"/>
        </w:rPr>
        <w:instrText>Benchmarking</w:instrText>
      </w:r>
      <w:r>
        <w:rPr>
          <w:highlight w:val="green"/>
        </w:rPr>
        <w:instrText>:</w:instrText>
      </w:r>
      <w:r>
        <w:rPr>
          <w:noProof/>
          <w:highlight w:val="green"/>
        </w:rPr>
        <w:instrText>– externe</w:instrText>
      </w:r>
      <w:r>
        <w:rPr>
          <w:highlight w:val="green"/>
        </w:rPr>
        <w:instrText xml:space="preserve">" </w:instrText>
      </w:r>
      <w:r>
        <w:rPr>
          <w:highlight w:val="green"/>
        </w:rPr>
        <w:fldChar w:fldCharType="end"/>
      </w:r>
      <w:r>
        <w:t>quand une entreprise compare ses performances à celles des autres entreprises les plus performantes du secteur.</w:t>
      </w:r>
    </w:p>
    <w:p w14:paraId="3C6C7701" w14:textId="77777777" w:rsidR="005D07A6" w:rsidRDefault="00F42774">
      <w:pPr>
        <w:pStyle w:val="debutfilet"/>
      </w:pPr>
      <w:r>
        <w:t>Exemple</w:t>
      </w:r>
    </w:p>
    <w:p w14:paraId="281E3762" w14:textId="77777777" w:rsidR="005D07A6" w:rsidRDefault="00F42774">
      <w:pPr>
        <w:pStyle w:val="LibelleRubrique"/>
      </w:pPr>
      <w:r>
        <w:t>Exemple</w:t>
      </w:r>
    </w:p>
    <w:p w14:paraId="2A3F7229" w14:textId="77777777" w:rsidR="005D07A6" w:rsidRDefault="00F42774">
      <w:pPr>
        <w:pStyle w:val="CT"/>
      </w:pPr>
      <w:r>
        <w:lastRenderedPageBreak/>
        <w:t>Dans un secteur en développement, si notre rentabilité est de 3 %, alors que la moyenne est à 10 % et que le leader fait 15 %, toutes choses égales par ailleurs, nous sommes très mauvais. Mais sur un marché en déclin, si nous continuons à prendre des parts de marché et à gagner de l’argent, alors que tous nos concurrents sont dans le rouge, et que plusieurs font faillite, une rentabilité de 3 % sera considérée comme une performance exceptionnelle. Tout est relatif.</w:t>
      </w:r>
    </w:p>
    <w:p w14:paraId="5F0B5447" w14:textId="77777777" w:rsidR="005D07A6" w:rsidRDefault="00F42774">
      <w:pPr>
        <w:pStyle w:val="finfilet"/>
      </w:pPr>
      <w:r>
        <w:t>Fin Exemple</w:t>
      </w:r>
    </w:p>
    <w:p w14:paraId="50AD0946" w14:textId="77777777" w:rsidR="005D07A6" w:rsidRDefault="00F42774">
      <w:pPr>
        <w:pStyle w:val="CTEspDessous"/>
      </w:pPr>
      <w:r>
        <w:t xml:space="preserve">Par opposition, le </w:t>
      </w:r>
      <w:r>
        <w:rPr>
          <w:b/>
          <w:bCs/>
        </w:rPr>
        <w:t>benchmarking « interne »</w:t>
      </w:r>
      <w:r>
        <w:t xml:space="preserve"> </w:t>
      </w:r>
      <w:r>
        <w:rPr>
          <w:highlight w:val="green"/>
        </w:rPr>
        <w:fldChar w:fldCharType="begin"/>
      </w:r>
      <w:r>
        <w:rPr>
          <w:highlight w:val="green"/>
        </w:rPr>
        <w:instrText xml:space="preserve"> XE "</w:instrText>
      </w:r>
      <w:r>
        <w:rPr>
          <w:noProof/>
          <w:highlight w:val="green"/>
        </w:rPr>
        <w:instrText>Benchmarking</w:instrText>
      </w:r>
      <w:r>
        <w:rPr>
          <w:highlight w:val="green"/>
        </w:rPr>
        <w:instrText>:</w:instrText>
      </w:r>
      <w:r>
        <w:rPr>
          <w:noProof/>
          <w:highlight w:val="green"/>
        </w:rPr>
        <w:instrText>– interne</w:instrText>
      </w:r>
      <w:r>
        <w:rPr>
          <w:highlight w:val="green"/>
        </w:rPr>
        <w:instrText xml:space="preserve">" </w:instrText>
      </w:r>
      <w:r>
        <w:rPr>
          <w:highlight w:val="green"/>
        </w:rPr>
        <w:fldChar w:fldCharType="end"/>
      </w:r>
      <w:r>
        <w:t>consiste à effectuer ces comparaisons au sein même d’une entreprise, en publiant une sorte de classement, de « palmarès » des performances (comme quand on donne les résultats d’un concours d’entrée dans une école en fonction du mérite, en fonction de la note obtenue : le « major », celui qui a obtenu la meilleure note, étant en tête de la liste…). Par exemple, dans une entreprise commerciale organisée par agences géographiques, on peut comparer les performances de ces différentes agences et publier un palmarès (en prenant comme critère le chiffre d’affaires, la marge, etc.). On fait ainsi apparaître les « bonnes » agences, celles qui sont jugées performantes, et les moins bonnes…</w:t>
      </w:r>
    </w:p>
    <w:p w14:paraId="1949A856" w14:textId="77777777" w:rsidR="005D07A6" w:rsidRDefault="00F42774">
      <w:pPr>
        <w:pStyle w:val="CTEspDessous"/>
      </w:pPr>
      <w:r>
        <w:t>Ce système peut évidemment être assorti de récompenses ou de sanctions (des primes aux responsables des unités performantes, par exemple).</w:t>
      </w:r>
    </w:p>
    <w:p w14:paraId="39CB9FEB" w14:textId="77777777" w:rsidR="005D07A6" w:rsidRDefault="00F42774">
      <w:pPr>
        <w:pStyle w:val="T3"/>
      </w:pPr>
      <w:r>
        <w:t>section 3.</w:t>
      </w:r>
      <w:r>
        <w:tab/>
        <w:t>Le contrôle de gestion, outil cybernétique de régulation</w:t>
      </w:r>
    </w:p>
    <w:p w14:paraId="53C2C872" w14:textId="77777777" w:rsidR="005D07A6" w:rsidRDefault="00F42774">
      <w:pPr>
        <w:pStyle w:val="CT"/>
      </w:pPr>
      <w:r>
        <w:t>Sur le plan théorique, on fait souvent appel à la notion de régulation pour rendre compte du fonctionnement d’un système de contrôle. Un système de contrôle de gestion peut être considéré comme un cas particulier de système « </w:t>
      </w:r>
      <w:r>
        <w:rPr>
          <w:b/>
          <w:bCs/>
        </w:rPr>
        <w:t>cybernétique</w:t>
      </w:r>
      <w:r>
        <w:rPr>
          <w:highlight w:val="green"/>
        </w:rPr>
        <w:fldChar w:fldCharType="begin"/>
      </w:r>
      <w:r>
        <w:rPr>
          <w:highlight w:val="green"/>
        </w:rPr>
        <w:instrText xml:space="preserve"> XE "</w:instrText>
      </w:r>
      <w:r>
        <w:rPr>
          <w:noProof/>
          <w:highlight w:val="green"/>
        </w:rPr>
        <w:instrText>Cybernétique</w:instrText>
      </w:r>
      <w:r>
        <w:rPr>
          <w:highlight w:val="green"/>
        </w:rPr>
        <w:instrText xml:space="preserve">" </w:instrText>
      </w:r>
      <w:r>
        <w:rPr>
          <w:highlight w:val="green"/>
        </w:rPr>
        <w:fldChar w:fldCharType="end"/>
      </w:r>
      <w:r>
        <w:t> », c’est-à-dire un système capable d’atteindre son objectif quelle que soit l’évolution de son environnement.</w:t>
      </w:r>
    </w:p>
    <w:p w14:paraId="7290A197" w14:textId="77777777" w:rsidR="005D07A6" w:rsidRDefault="00F42774">
      <w:pPr>
        <w:pStyle w:val="CT"/>
      </w:pPr>
      <w:r>
        <w:t>Si tout allait toujours pour le mieux dans le meilleur des mondes, le gestionnaire serait parfaitement informé, il prendrait toujours les meilleures décisions et le résultat correspondrait toujours à l’objectif, ce que l’on peut représenter par le schéma suivant :</w:t>
      </w:r>
    </w:p>
    <w:p w14:paraId="31941870" w14:textId="77777777" w:rsidR="005D07A6" w:rsidRDefault="00F42774">
      <w:pPr>
        <w:pStyle w:val="CT"/>
        <w:jc w:val="center"/>
      </w:pPr>
      <w:r>
        <w:rPr>
          <w:noProof/>
        </w:rPr>
        <w:drawing>
          <wp:inline distT="0" distB="0" distL="0" distR="0" wp14:anchorId="1BE11659" wp14:editId="25231EBD">
            <wp:extent cx="4773582" cy="329213"/>
            <wp:effectExtent l="0" t="0" r="0" b="0"/>
            <wp:docPr id="4" name="Image 4" descr="Pas de visualisation pour [UE202526_433_S1_fichiers/UE121S1_020.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s de visualisation pour [UE202526_433_S1_fichiers/UE121S1_020.png]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73582" cy="329213"/>
                    </a:xfrm>
                    <a:prstGeom prst="rect">
                      <a:avLst/>
                    </a:prstGeom>
                    <a:noFill/>
                    <a:ln>
                      <a:noFill/>
                    </a:ln>
                  </pic:spPr>
                </pic:pic>
              </a:graphicData>
            </a:graphic>
          </wp:inline>
        </w:drawing>
      </w:r>
      <w:r>
        <w:t>&lt;image&gt;UE121S1_020.png&lt;/image&gt;</w:t>
      </w:r>
    </w:p>
    <w:p w14:paraId="197A60D3" w14:textId="77777777" w:rsidR="005D07A6" w:rsidRDefault="00F42774">
      <w:pPr>
        <w:pStyle w:val="CTEspDessous"/>
      </w:pPr>
      <w:r>
        <w:t xml:space="preserve">En fait, il en va très rarement ainsi, pour une raison très simple : le décideur est confronté à un </w:t>
      </w:r>
      <w:r>
        <w:rPr>
          <w:b/>
          <w:bCs/>
        </w:rPr>
        <w:t>environnement</w:t>
      </w:r>
      <w:r>
        <w:t xml:space="preserve"> adverse. Dans cet environnement, d’autres décideurs poursuivent leurs propres objectifs, contraires aux siens.</w:t>
      </w:r>
    </w:p>
    <w:p w14:paraId="06E133DB" w14:textId="77777777" w:rsidR="005D07A6" w:rsidRDefault="00F42774">
      <w:pPr>
        <w:pStyle w:val="debutfilet"/>
      </w:pPr>
      <w:r>
        <w:t>Exemple</w:t>
      </w:r>
    </w:p>
    <w:p w14:paraId="088F0AB0" w14:textId="77777777" w:rsidR="005D07A6" w:rsidRDefault="00F42774">
      <w:pPr>
        <w:pStyle w:val="LibelleRubrique"/>
      </w:pPr>
      <w:r>
        <w:t>Exemples</w:t>
      </w:r>
    </w:p>
    <w:p w14:paraId="7299C944" w14:textId="77777777" w:rsidR="005D07A6" w:rsidRDefault="00F42774">
      <w:pPr>
        <w:pStyle w:val="ET"/>
      </w:pPr>
      <w:r>
        <w:t>On peut faire attention à sa santé et néanmoins subir le « tabagisme passif » dans certains lieux publics.</w:t>
      </w:r>
    </w:p>
    <w:p w14:paraId="10CB32E9" w14:textId="77777777" w:rsidR="005D07A6" w:rsidRDefault="00F42774">
      <w:pPr>
        <w:pStyle w:val="ET"/>
      </w:pPr>
      <w:r>
        <w:t>Un directeur commercial pense avoir pris les bonnes décisions et se heurte à des concurrents qui cassent les prix.</w:t>
      </w:r>
    </w:p>
    <w:p w14:paraId="5E6CDC33" w14:textId="77777777" w:rsidR="005D07A6" w:rsidRDefault="00F42774">
      <w:pPr>
        <w:pStyle w:val="finfilet"/>
      </w:pPr>
      <w:r>
        <w:t>Fin Exemple</w:t>
      </w:r>
    </w:p>
    <w:p w14:paraId="11487C47" w14:textId="77777777" w:rsidR="005D07A6" w:rsidRDefault="00F42774">
      <w:pPr>
        <w:pStyle w:val="CT"/>
      </w:pPr>
      <w:r>
        <w:t>Les décisions prises dans l’environnement interfèrent avec celles prises en interne par le gestionnaire et viennent impacter négativement les résultats, qui ont tendance à diverger par rapport aux objectifs.</w:t>
      </w:r>
    </w:p>
    <w:p w14:paraId="24D46AEA" w14:textId="77777777" w:rsidR="005D07A6" w:rsidRDefault="00F42774">
      <w:pPr>
        <w:pStyle w:val="CT"/>
      </w:pPr>
      <w:r>
        <w:t>Nous avons le schéma suivant :</w:t>
      </w:r>
    </w:p>
    <w:p w14:paraId="0416528D" w14:textId="77777777" w:rsidR="005D07A6" w:rsidRDefault="00F42774">
      <w:pPr>
        <w:pStyle w:val="CT"/>
        <w:jc w:val="center"/>
      </w:pPr>
      <w:r>
        <w:rPr>
          <w:noProof/>
        </w:rPr>
        <w:lastRenderedPageBreak/>
        <w:drawing>
          <wp:inline distT="0" distB="0" distL="0" distR="0" wp14:anchorId="4F5EFA4C" wp14:editId="09B513F3">
            <wp:extent cx="4773582" cy="969348"/>
            <wp:effectExtent l="0" t="0" r="0" b="2540"/>
            <wp:docPr id="5" name="Image 5" descr="Pas de visualisation pour [UE202526_433_S1_fichiers/UE121S1_019.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s de visualisation pour [UE202526_433_S1_fichiers/UE121S1_019.png]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73582" cy="969348"/>
                    </a:xfrm>
                    <a:prstGeom prst="rect">
                      <a:avLst/>
                    </a:prstGeom>
                    <a:noFill/>
                    <a:ln>
                      <a:noFill/>
                    </a:ln>
                  </pic:spPr>
                </pic:pic>
              </a:graphicData>
            </a:graphic>
          </wp:inline>
        </w:drawing>
      </w:r>
      <w:r>
        <w:t>&lt;image&gt;UE121S1_019.png&lt;/image&gt;</w:t>
      </w:r>
    </w:p>
    <w:p w14:paraId="67699FE5" w14:textId="77777777" w:rsidR="005D07A6" w:rsidRDefault="00F42774">
      <w:pPr>
        <w:pStyle w:val="CTEspDessous"/>
      </w:pPr>
      <w:r>
        <w:t>On risque donc de ne pas pouvoir maîtriser la situation, de ne pas pouvoir « contrôler » l’évolution des événements.</w:t>
      </w:r>
    </w:p>
    <w:p w14:paraId="5A2808A1" w14:textId="77777777" w:rsidR="005D07A6" w:rsidRDefault="00F42774">
      <w:pPr>
        <w:pStyle w:val="CTEspDessous"/>
      </w:pPr>
      <w:r>
        <w:t xml:space="preserve">Une </w:t>
      </w:r>
      <w:r>
        <w:rPr>
          <w:b/>
          <w:bCs/>
        </w:rPr>
        <w:t>situation est sous contrôle</w:t>
      </w:r>
      <w:r>
        <w:t xml:space="preserve"> quand les événements nous « obéissent », quand rien ni personne nous « force la main » et nous oblige à faire quelque chose contraire à notre volonté ou à notre intérêt.</w:t>
      </w:r>
    </w:p>
    <w:p w14:paraId="4CDFECAB" w14:textId="77777777" w:rsidR="005D07A6" w:rsidRDefault="00F42774">
      <w:pPr>
        <w:pStyle w:val="CT"/>
      </w:pPr>
      <w:r>
        <w:t>Or, l’existence d’un environnement « adverse » (les concurrents, par exemple) fait que les résultats ont une fâcheuse tendance à s’écarter des objectifs poursuivis : on risque de subir l’évolution, de perdre la maîtrise, le contrôle de la gestion, des résultats.</w:t>
      </w:r>
    </w:p>
    <w:p w14:paraId="45873057" w14:textId="77777777" w:rsidR="005D07A6" w:rsidRDefault="00F42774">
      <w:pPr>
        <w:pStyle w:val="CT"/>
      </w:pPr>
      <w:r>
        <w:t xml:space="preserve">Face à cela, on peut avoir une attitude passive : « C’est le destin, je n’y peux rien… » On peut aussi avoir une attitude plus active, en essayant d’anticiper, de </w:t>
      </w:r>
      <w:r>
        <w:rPr>
          <w:b/>
          <w:bCs/>
        </w:rPr>
        <w:t>prévoir</w:t>
      </w:r>
      <w:r>
        <w:t xml:space="preserve"> l’évolution ou la réaction de l’environnement, pour décider en conséquence (rappelons l’adage selon lequel « gérer, c’est prévoir »). Les décisions sont prises sur la base de ces prévisions qui, le plus souvent, sont </w:t>
      </w:r>
      <w:r>
        <w:rPr>
          <w:b/>
          <w:bCs/>
        </w:rPr>
        <w:t>explicitées dans les budgets</w:t>
      </w:r>
      <w:r>
        <w:t> :</w:t>
      </w:r>
    </w:p>
    <w:p w14:paraId="6E5659BC" w14:textId="77777777" w:rsidR="005D07A6" w:rsidRDefault="00F42774">
      <w:pPr>
        <w:pStyle w:val="CT"/>
        <w:jc w:val="center"/>
      </w:pPr>
      <w:r>
        <w:rPr>
          <w:noProof/>
        </w:rPr>
        <w:drawing>
          <wp:inline distT="0" distB="0" distL="0" distR="0" wp14:anchorId="02CAF8B2" wp14:editId="3FB3669B">
            <wp:extent cx="4773582" cy="804742"/>
            <wp:effectExtent l="0" t="0" r="8255" b="0"/>
            <wp:docPr id="6" name="Image 6" descr="Pas de visualisation pour [UE202526_433_S1_fichiers/UE121S1_018.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s de visualisation pour [UE202526_433_S1_fichiers/UE121S1_018.png]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73582" cy="804742"/>
                    </a:xfrm>
                    <a:prstGeom prst="rect">
                      <a:avLst/>
                    </a:prstGeom>
                    <a:noFill/>
                    <a:ln>
                      <a:noFill/>
                    </a:ln>
                  </pic:spPr>
                </pic:pic>
              </a:graphicData>
            </a:graphic>
          </wp:inline>
        </w:drawing>
      </w:r>
      <w:r>
        <w:t>&lt;image&gt;UE121S1_018.png&lt;/image&gt;</w:t>
      </w:r>
    </w:p>
    <w:p w14:paraId="01BD833A" w14:textId="77777777" w:rsidR="005D07A6" w:rsidRDefault="00F42774">
      <w:pPr>
        <w:pStyle w:val="CT"/>
      </w:pPr>
      <w:r>
        <w:t>Par exemple, on fait une étude marketing pour étudier le marché et la concurrence. Mais comme les gestionnaires ne sont pas des devins, toute prévision est nécessairement imparfaite. Et plus on veut améliorer la prévision, plus cela coûte cher. On peut améliorer la qualité des prévisions météorologiques, mais au prix de la mise en place de réseaux de satellites d’observation de plus en plus sophistiqués et de plus en plus coûteux.</w:t>
      </w:r>
    </w:p>
    <w:p w14:paraId="5E5FFA58" w14:textId="77777777" w:rsidR="005D07A6" w:rsidRDefault="00F42774">
      <w:pPr>
        <w:pStyle w:val="CT"/>
      </w:pPr>
      <w:r>
        <w:t xml:space="preserve">L’anticipation est donc nécessaire, mais insuffisante, et il faut compléter cela par une attitude réactive. Il faut être en état d’alerte, surveiller les performances, détecter les </w:t>
      </w:r>
      <w:r>
        <w:rPr>
          <w:b/>
          <w:bCs/>
        </w:rPr>
        <w:t>écarts par rapport aux objectifs</w:t>
      </w:r>
      <w:r>
        <w:t xml:space="preserve">, pour pouvoir </w:t>
      </w:r>
      <w:r>
        <w:rPr>
          <w:b/>
          <w:bCs/>
        </w:rPr>
        <w:t>réagir</w:t>
      </w:r>
      <w:r>
        <w:t xml:space="preserve"> rapidement. Pour pouvoir contrôler la situation, il faut structurer, organiser la circulation de l’information en instituant un effet de « rétroaction », un effet de feed-back :</w:t>
      </w:r>
    </w:p>
    <w:p w14:paraId="2313FD9B" w14:textId="77777777" w:rsidR="005D07A6" w:rsidRDefault="00F42774">
      <w:pPr>
        <w:pStyle w:val="CT"/>
        <w:jc w:val="center"/>
      </w:pPr>
      <w:r>
        <w:rPr>
          <w:noProof/>
        </w:rPr>
        <w:drawing>
          <wp:inline distT="0" distB="0" distL="0" distR="0" wp14:anchorId="60742D03" wp14:editId="63EFC1BA">
            <wp:extent cx="4773582" cy="1639966"/>
            <wp:effectExtent l="0" t="0" r="8255" b="0"/>
            <wp:docPr id="7" name="Image 7" descr="Pas de visualisation pour [UE202526_433_S1_fichiers/UE121S1_017.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s de visualisation pour [UE202526_433_S1_fichiers/UE121S1_017.png] !"/>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73582" cy="1639966"/>
                    </a:xfrm>
                    <a:prstGeom prst="rect">
                      <a:avLst/>
                    </a:prstGeom>
                    <a:noFill/>
                    <a:ln>
                      <a:noFill/>
                    </a:ln>
                  </pic:spPr>
                </pic:pic>
              </a:graphicData>
            </a:graphic>
          </wp:inline>
        </w:drawing>
      </w:r>
      <w:r>
        <w:t>&lt;image&gt;UE121S1_017.png&lt;/image&gt;</w:t>
      </w:r>
    </w:p>
    <w:p w14:paraId="50F4E28C" w14:textId="77777777" w:rsidR="005D07A6" w:rsidRDefault="00F42774">
      <w:pPr>
        <w:pStyle w:val="CTEspDessous"/>
      </w:pPr>
      <w:r>
        <w:t>Un système est dit « </w:t>
      </w:r>
      <w:r>
        <w:rPr>
          <w:b/>
          <w:bCs/>
        </w:rPr>
        <w:t>sous contrôle</w:t>
      </w:r>
      <w:r>
        <w:t> » quand ce mécanisme de</w:t>
      </w:r>
      <w:r>
        <w:rPr>
          <w:b/>
          <w:bCs/>
        </w:rPr>
        <w:t xml:space="preserve"> correction par rétroaction</w:t>
      </w:r>
      <w:r>
        <w:rPr>
          <w:highlight w:val="green"/>
        </w:rPr>
        <w:fldChar w:fldCharType="begin"/>
      </w:r>
      <w:r>
        <w:rPr>
          <w:highlight w:val="green"/>
        </w:rPr>
        <w:instrText xml:space="preserve"> XE "</w:instrText>
      </w:r>
      <w:r>
        <w:rPr>
          <w:noProof/>
          <w:highlight w:val="green"/>
        </w:rPr>
        <w:instrText>Rétroaction</w:instrText>
      </w:r>
      <w:r>
        <w:rPr>
          <w:highlight w:val="green"/>
        </w:rPr>
        <w:instrText xml:space="preserve">" </w:instrText>
      </w:r>
      <w:r>
        <w:rPr>
          <w:highlight w:val="green"/>
        </w:rPr>
        <w:fldChar w:fldCharType="end"/>
      </w:r>
      <w:r>
        <w:t xml:space="preserve"> fonctionne efficacement en permettant d’atteindre l’objectif quelle que soit l’évolution de l’environnement.</w:t>
      </w:r>
    </w:p>
    <w:p w14:paraId="5DA3FA63" w14:textId="77777777" w:rsidR="005D07A6" w:rsidRDefault="00F42774">
      <w:pPr>
        <w:pStyle w:val="CT"/>
      </w:pPr>
      <w:r>
        <w:t>Dans certains cas, ce mécanisme de contrôle peut jouer de façon automatique. On a alors un mécanisme de régulation qualifié souvent de « </w:t>
      </w:r>
      <w:r>
        <w:rPr>
          <w:b/>
          <w:bCs/>
        </w:rPr>
        <w:t>cybernétique</w:t>
      </w:r>
      <w:r>
        <w:rPr>
          <w:highlight w:val="green"/>
        </w:rPr>
        <w:fldChar w:fldCharType="begin"/>
      </w:r>
      <w:r>
        <w:rPr>
          <w:highlight w:val="green"/>
        </w:rPr>
        <w:instrText xml:space="preserve"> XE "</w:instrText>
      </w:r>
      <w:r>
        <w:rPr>
          <w:noProof/>
          <w:highlight w:val="green"/>
        </w:rPr>
        <w:instrText>Cybernétique</w:instrText>
      </w:r>
      <w:r>
        <w:rPr>
          <w:highlight w:val="green"/>
        </w:rPr>
        <w:instrText xml:space="preserve">" </w:instrText>
      </w:r>
      <w:r>
        <w:rPr>
          <w:highlight w:val="green"/>
        </w:rPr>
        <w:fldChar w:fldCharType="end"/>
      </w:r>
      <w:r>
        <w:t xml:space="preserve"> » (mot grec signifiant « gouvernail », l’outil de pilotage par </w:t>
      </w:r>
      <w:r>
        <w:lastRenderedPageBreak/>
        <w:t>excellence…), comme le mécanisme de régulation thermostatique qui permet de réguler la température dans un appartement :</w:t>
      </w:r>
    </w:p>
    <w:p w14:paraId="76C98685" w14:textId="77777777" w:rsidR="005D07A6" w:rsidRDefault="00F42774">
      <w:pPr>
        <w:pStyle w:val="CT"/>
        <w:jc w:val="center"/>
      </w:pPr>
      <w:r>
        <w:rPr>
          <w:noProof/>
        </w:rPr>
        <w:drawing>
          <wp:inline distT="0" distB="0" distL="0" distR="0" wp14:anchorId="7FE7DD26" wp14:editId="7D1C002C">
            <wp:extent cx="4773582" cy="1390008"/>
            <wp:effectExtent l="0" t="0" r="0" b="1270"/>
            <wp:docPr id="8" name="Image 8" descr="Pas de visualisation pour [UE202526_433_S1_fichiers/UE121S1_016.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as de visualisation pour [UE202526_433_S1_fichiers/UE121S1_016.png]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73582" cy="1390008"/>
                    </a:xfrm>
                    <a:prstGeom prst="rect">
                      <a:avLst/>
                    </a:prstGeom>
                    <a:noFill/>
                    <a:ln>
                      <a:noFill/>
                    </a:ln>
                  </pic:spPr>
                </pic:pic>
              </a:graphicData>
            </a:graphic>
          </wp:inline>
        </w:drawing>
      </w:r>
      <w:r>
        <w:t>&lt;image&gt;UE121S1_016.png&lt;/image&gt;</w:t>
      </w:r>
    </w:p>
    <w:p w14:paraId="2C3AA55D" w14:textId="77777777" w:rsidR="005D07A6" w:rsidRDefault="00F42774">
      <w:pPr>
        <w:pStyle w:val="CTEspDessous"/>
      </w:pPr>
      <w:r>
        <w:t>Si la température extérieure baisse, la température intérieure baisse aussi, par déperdition calorifique. Le thermostat détecte l’écart et remet en marche automatiquement la chaudière. Dès que la température est remontée, le thermostat coupe la chaudière.</w:t>
      </w:r>
    </w:p>
    <w:p w14:paraId="60E69CCD" w14:textId="77777777" w:rsidR="005D07A6" w:rsidRDefault="00F42774">
      <w:pPr>
        <w:pStyle w:val="CTEspDessous"/>
      </w:pPr>
      <w:r>
        <w:t>On peut évidemment transposer avec un climatiseur, qui se mettra en marche quand il fera trop chaud.</w:t>
      </w:r>
    </w:p>
    <w:p w14:paraId="0A1A5146" w14:textId="77777777" w:rsidR="005D07A6" w:rsidRDefault="00F42774">
      <w:pPr>
        <w:pStyle w:val="CTEspDessous"/>
      </w:pPr>
      <w:r>
        <w:t>On remarquera que le contrôle de la température est ici assuré par une suite de décisions marche – arrêt – marche – arrêt –, etc., et qu’il ne peut fonctionner que si l’on dispose d’une réserve d’énergie (du fioul, par exemple).</w:t>
      </w:r>
    </w:p>
    <w:p w14:paraId="2EAC9404" w14:textId="77777777" w:rsidR="005D07A6" w:rsidRDefault="00F42774">
      <w:pPr>
        <w:pStyle w:val="CTEspDessous"/>
      </w:pPr>
      <w:r>
        <w:t>Notons que certains mécanismes de régulation fonctionnent ainsi spontanément dans le domaine économique, le plus célèbre étant évidemment celui du marché, grâce aux variations de prix qui constituent les signaux permettant aux agents de prendre les décisions menant à l’adaptation de l’offre à la demande.</w:t>
      </w:r>
    </w:p>
    <w:p w14:paraId="2DB73007" w14:textId="77777777" w:rsidR="005D07A6" w:rsidRDefault="00F42774">
      <w:pPr>
        <w:pStyle w:val="CTEspDessous"/>
      </w:pPr>
      <w:r>
        <w:t>Ceci permet de comprendre le principe de fonctionnement d’un système de contrôle de gestion : un mécanisme de régulation par rétroaction analogue au mécanisme de la régulation thermostatique doit fonctionner si on veut atteindre les objectifs (ventes prévues, coûts prévus, résultats prévus). Il faut pouvoir prendre des décisions correctrices pour éviter les dérives par rapport aux objectifs.</w:t>
      </w:r>
    </w:p>
    <w:p w14:paraId="67BA3676" w14:textId="77777777" w:rsidR="005D07A6" w:rsidRDefault="00F42774">
      <w:pPr>
        <w:pStyle w:val="CTEspDessous"/>
      </w:pPr>
      <w:r>
        <w:t xml:space="preserve">Cette conception « cybernétique » du contrôle est souvent dénoncée comme étant trop mécanique et doit évidemment être nuancée et complétée, notamment pour tenir compte des aspects psychosociologiques et des impératifs d’évolution, d’adaptation du système. Il ne suffit pas de fixer une norme et de l’atteindre, il faut aussi la faire évoluer. Tout comme on reproche à la comptabilité d’être essentiellement tournée vers le passé (image du « rétroviseur »), on peut reprocher au contrôle par </w:t>
      </w:r>
      <w:r>
        <w:rPr>
          <w:b/>
          <w:bCs/>
        </w:rPr>
        <w:t>rétroaction</w:t>
      </w:r>
      <w:r>
        <w:rPr>
          <w:highlight w:val="green"/>
        </w:rPr>
        <w:fldChar w:fldCharType="begin"/>
      </w:r>
      <w:r>
        <w:rPr>
          <w:highlight w:val="green"/>
        </w:rPr>
        <w:instrText xml:space="preserve"> XE "</w:instrText>
      </w:r>
      <w:r>
        <w:rPr>
          <w:noProof/>
          <w:highlight w:val="green"/>
        </w:rPr>
        <w:instrText>Rétroaction</w:instrText>
      </w:r>
      <w:r>
        <w:rPr>
          <w:highlight w:val="green"/>
        </w:rPr>
        <w:instrText xml:space="preserve">" </w:instrText>
      </w:r>
      <w:r>
        <w:rPr>
          <w:highlight w:val="green"/>
        </w:rPr>
        <w:fldChar w:fldCharType="end"/>
      </w:r>
      <w:r>
        <w:t xml:space="preserve"> de ne pas être assez « prospectif », tourné vers l’avenir.</w:t>
      </w:r>
    </w:p>
    <w:p w14:paraId="6DC8365D" w14:textId="77777777" w:rsidR="005D07A6" w:rsidRDefault="00F42774">
      <w:pPr>
        <w:pStyle w:val="CT"/>
      </w:pPr>
      <w:r>
        <w:t>À un autre niveau, qui ne relève pas du contrôle de gestion mais plutôt de la gestion tout court, il faut d’autres procédures de rétroaction, sur les objectifs eux-mêmes : si, par exemple, la concurrence se fait plus dure, il ne faudra pas se contenter des niveaux de coûts actuels, mais programmer des actions permettant des gains de productivité, voire délocaliser, par exemple. Le contrôle de gestion reste néanmoins impliqué si l’on se réfère à l’organisation hiérarchisée, « gigogne » du système de contrôle, qui sera abordée plus loin.</w:t>
      </w:r>
    </w:p>
    <w:p w14:paraId="34DA8466" w14:textId="77777777" w:rsidR="005D07A6" w:rsidRDefault="00F42774">
      <w:pPr>
        <w:pStyle w:val="CT"/>
      </w:pPr>
      <w:r>
        <w:t>Pour l’instant, retenons que le processus de gestion est un processus bouclé, cyclique, qui implique :</w:t>
      </w:r>
    </w:p>
    <w:p w14:paraId="3E160536" w14:textId="77777777" w:rsidR="005D07A6" w:rsidRDefault="00F42774">
      <w:pPr>
        <w:pStyle w:val="ET"/>
      </w:pPr>
      <w:r>
        <w:t>une phase de prévisions (essentiellement budgétaires), pour exprimer où l’on va, quelles devraient être les performances ;</w:t>
      </w:r>
    </w:p>
    <w:p w14:paraId="6DD2BF62" w14:textId="77777777" w:rsidR="005D07A6" w:rsidRDefault="00F42774">
      <w:pPr>
        <w:pStyle w:val="ET"/>
      </w:pPr>
      <w:r>
        <w:t>une phase d’évaluation des performances effectives, grâce notamment à la comptabilité de gestion (ou comptabilité analytique) ;</w:t>
      </w:r>
    </w:p>
    <w:p w14:paraId="4904F97A" w14:textId="77777777" w:rsidR="005D07A6" w:rsidRDefault="00F42774">
      <w:pPr>
        <w:pStyle w:val="ET"/>
      </w:pPr>
      <w:r>
        <w:t>et, enfin, une phase de contrôle au sens strict, caractérisée par le calcul et l’analyse des écarts entre les prévisions et les réalisations, permettant de réagir en cas de divergence, de « dérapage ».</w:t>
      </w:r>
    </w:p>
    <w:p w14:paraId="5EE3A64B" w14:textId="77777777" w:rsidR="005D07A6" w:rsidRDefault="00F42774">
      <w:pPr>
        <w:pStyle w:val="CT"/>
        <w:jc w:val="center"/>
      </w:pPr>
      <w:r>
        <w:rPr>
          <w:noProof/>
        </w:rPr>
        <w:lastRenderedPageBreak/>
        <w:drawing>
          <wp:inline distT="0" distB="0" distL="0" distR="0" wp14:anchorId="363FA47A" wp14:editId="4295A5FA">
            <wp:extent cx="1329043" cy="1359526"/>
            <wp:effectExtent l="0" t="0" r="5080" b="0"/>
            <wp:docPr id="9" name="Image 9" descr="Pas de visualisation pour [UE202526_433_S1_fichiers/UE121S1_015.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s de visualisation pour [UE202526_433_S1_fichiers/UE121S1_015.png] !"/>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29043" cy="1359526"/>
                    </a:xfrm>
                    <a:prstGeom prst="rect">
                      <a:avLst/>
                    </a:prstGeom>
                    <a:noFill/>
                    <a:ln>
                      <a:noFill/>
                    </a:ln>
                  </pic:spPr>
                </pic:pic>
              </a:graphicData>
            </a:graphic>
          </wp:inline>
        </w:drawing>
      </w:r>
      <w:r>
        <w:t>&lt;image&gt;UE121S1_015.png&lt;/image&gt;</w:t>
      </w:r>
    </w:p>
    <w:p w14:paraId="5E6F7771" w14:textId="77777777" w:rsidR="005D07A6" w:rsidRDefault="00F42774">
      <w:pPr>
        <w:pStyle w:val="CTEspDessous"/>
      </w:pPr>
      <w:r>
        <w:t xml:space="preserve">Le </w:t>
      </w:r>
      <w:r>
        <w:rPr>
          <w:b/>
          <w:bCs/>
        </w:rPr>
        <w:t>contrôleur de gestion</w:t>
      </w:r>
      <w:r>
        <w:rPr>
          <w:highlight w:val="green"/>
        </w:rPr>
        <w:fldChar w:fldCharType="begin"/>
      </w:r>
      <w:r>
        <w:rPr>
          <w:highlight w:val="green"/>
        </w:rPr>
        <w:instrText xml:space="preserve"> XE "</w:instrText>
      </w:r>
      <w:r>
        <w:rPr>
          <w:noProof/>
          <w:highlight w:val="green"/>
        </w:rPr>
        <w:instrText>Contrôleur de gestion</w:instrText>
      </w:r>
      <w:r>
        <w:rPr>
          <w:highlight w:val="green"/>
        </w:rPr>
        <w:instrText xml:space="preserve">" </w:instrText>
      </w:r>
      <w:r>
        <w:rPr>
          <w:highlight w:val="green"/>
        </w:rPr>
        <w:fldChar w:fldCharType="end"/>
      </w:r>
      <w:r>
        <w:t xml:space="preserve"> est, en quelque sorte, responsable du bon fonctionnement des procédures permettant cette </w:t>
      </w:r>
      <w:r>
        <w:rPr>
          <w:b/>
          <w:bCs/>
        </w:rPr>
        <w:t>rétroaction</w:t>
      </w:r>
      <w:r>
        <w:rPr>
          <w:highlight w:val="green"/>
        </w:rPr>
        <w:fldChar w:fldCharType="begin"/>
      </w:r>
      <w:r>
        <w:rPr>
          <w:highlight w:val="green"/>
        </w:rPr>
        <w:instrText xml:space="preserve"> XE "</w:instrText>
      </w:r>
      <w:r>
        <w:rPr>
          <w:noProof/>
          <w:highlight w:val="green"/>
        </w:rPr>
        <w:instrText>Rétroaction</w:instrText>
      </w:r>
      <w:r>
        <w:rPr>
          <w:highlight w:val="green"/>
        </w:rPr>
        <w:instrText xml:space="preserve">" </w:instrText>
      </w:r>
      <w:r>
        <w:rPr>
          <w:highlight w:val="green"/>
        </w:rPr>
        <w:fldChar w:fldCharType="end"/>
      </w:r>
      <w:r>
        <w:t>.</w:t>
      </w:r>
    </w:p>
    <w:p w14:paraId="75460EFA" w14:textId="77777777" w:rsidR="005D07A6" w:rsidRDefault="00F42774">
      <w:pPr>
        <w:pStyle w:val="CTEspDessous"/>
      </w:pPr>
      <w:r>
        <w:t>Ce modèle bouclé en trois temps (prévision, évaluation, contrôle par rétroaction) constitue souvent l’ossature du plan d’un cours de contrôle de gestion. Pour des raisons pédagogiques, on commence généralement par la phase 2 (calcul et analyse des coûts : comptabilité de gestion), pour passer ensuite à la phase 1 (les budgets), tout simplement parce que, pour établir des budgets, il faut calculer des coûts prévisionnels et, pour comprendre ce qu’est un coût prévisionnel, il vaut mieux commencer par apprendre ce qu’est un coût tout court. On termine ensuite par la phase 3 du contrôle proprement dit (analyse d’écarts).</w:t>
      </w:r>
    </w:p>
    <w:p w14:paraId="1BB9805D" w14:textId="77777777" w:rsidR="005D07A6" w:rsidRDefault="00F42774">
      <w:pPr>
        <w:pStyle w:val="CTEspDessous"/>
      </w:pPr>
      <w:r>
        <w:t>Rappelons encore une fois que le contrôle de gestion ne se limite pas aux aspects comptables et budgétaires. Mais les aspects comptables sont incontournables parce que, très souvent, la comptabilité est le seul système d’information formel sur lequel on puisse réellement s’appuyer et ils sont généralement privilégiés au niveau licence : il faut connaître les techniques comptables de base mobilisables. Les aspects organisationnels, psychosociologiques, contingents, extracomptables, sont tout aussi importants, et il est possible, à la limite, de faire un cours de contrôle de gestion sans jamais utiliser aucun chiffre, aucune donnée comptable. Mais ces aspects, qui certes seront évoqués dans ce cours de niveau licence, sont surtout traités dans le cours de « Management et contrôle de gestion » qui relève du niveau Master.</w:t>
      </w:r>
    </w:p>
    <w:p w14:paraId="367E26DC" w14:textId="77777777" w:rsidR="005D07A6" w:rsidRDefault="00F42774">
      <w:pPr>
        <w:pStyle w:val="CTEspDessous"/>
      </w:pPr>
      <w:r>
        <w:t>Toujours sur le plan théorique, on peut compléter cette approche (fondée sur la transposition du fonctionnement d’un système de régulation) en faisant référence à la « </w:t>
      </w:r>
      <w:r>
        <w:rPr>
          <w:b/>
          <w:bCs/>
        </w:rPr>
        <w:t>théorie de l’agence</w:t>
      </w:r>
      <w:r>
        <w:rPr>
          <w:highlight w:val="green"/>
        </w:rPr>
        <w:fldChar w:fldCharType="begin"/>
      </w:r>
      <w:r>
        <w:rPr>
          <w:highlight w:val="green"/>
        </w:rPr>
        <w:instrText xml:space="preserve"> XE "</w:instrText>
      </w:r>
      <w:r>
        <w:rPr>
          <w:noProof/>
          <w:highlight w:val="green"/>
        </w:rPr>
        <w:instrText>Théorie</w:instrText>
      </w:r>
      <w:r>
        <w:rPr>
          <w:highlight w:val="green"/>
        </w:rPr>
        <w:instrText>:</w:instrText>
      </w:r>
      <w:r>
        <w:rPr>
          <w:noProof/>
          <w:highlight w:val="green"/>
        </w:rPr>
        <w:instrText>– de l’agence</w:instrText>
      </w:r>
      <w:r>
        <w:rPr>
          <w:highlight w:val="green"/>
        </w:rPr>
        <w:instrText xml:space="preserve">" </w:instrText>
      </w:r>
      <w:r>
        <w:rPr>
          <w:highlight w:val="green"/>
        </w:rPr>
        <w:fldChar w:fldCharType="end"/>
      </w:r>
      <w:r>
        <w:t xml:space="preserve"> », qui explique comment un « principal » doit et peut contrôler son « agent ». Tout comme, dans la problématique de la gouvernance de l’entreprise, les actionnaires doivent mettre en place des procédures de contrôle et </w:t>
      </w:r>
      <w:r>
        <w:rPr>
          <w:b/>
          <w:bCs/>
        </w:rPr>
        <w:t>d’incitation</w:t>
      </w:r>
      <w:r>
        <w:rPr>
          <w:highlight w:val="green"/>
        </w:rPr>
        <w:fldChar w:fldCharType="begin"/>
      </w:r>
      <w:r>
        <w:rPr>
          <w:highlight w:val="green"/>
        </w:rPr>
        <w:instrText xml:space="preserve"> XE "</w:instrText>
      </w:r>
      <w:r>
        <w:rPr>
          <w:noProof/>
          <w:highlight w:val="green"/>
        </w:rPr>
        <w:instrText>Incitation</w:instrText>
      </w:r>
      <w:r>
        <w:rPr>
          <w:highlight w:val="green"/>
        </w:rPr>
        <w:instrText xml:space="preserve">" </w:instrText>
      </w:r>
      <w:r>
        <w:rPr>
          <w:highlight w:val="green"/>
        </w:rPr>
        <w:fldChar w:fldCharType="end"/>
      </w:r>
      <w:r>
        <w:t xml:space="preserve"> des dirigeants, les dirigeants doivent, en interne, mettre en place des procédures de contrôle et d’incitation des responsables auxquels ils confient la gestion d’une unité (usine, agence commerciale, etc.). Le système de contrôle doit fournir à l’agent les outils lui permettant d’atteindre les objectifs qui lui ont été assignés. Normalement, l’agent doit être capable de résoudre les problèmes en corrigeant les dérapages. Mais, si les écarts persistent, les problèmes doivent remonter jusqu’au principal. L’agent doit « rendre compte » périodiquement à son principal. Le système ne peut fonctionner que si le système de traitement des informations mis en place par le contrôle de gestion fournit des états pertinents.</w:t>
      </w:r>
    </w:p>
    <w:p w14:paraId="20A58CCE" w14:textId="77777777" w:rsidR="005D07A6" w:rsidRDefault="00F42774">
      <w:pPr>
        <w:pStyle w:val="T3"/>
      </w:pPr>
      <w:r>
        <w:t>section 4.</w:t>
      </w:r>
      <w:r>
        <w:tab/>
        <w:t>Le métier de contrôleur de gestion</w:t>
      </w:r>
    </w:p>
    <w:p w14:paraId="0A178E3C" w14:textId="77777777" w:rsidR="005D07A6" w:rsidRDefault="00F42774">
      <w:pPr>
        <w:pStyle w:val="CTEspDessous"/>
      </w:pPr>
      <w:r>
        <w:t xml:space="preserve">Le </w:t>
      </w:r>
      <w:r>
        <w:rPr>
          <w:b/>
          <w:bCs/>
        </w:rPr>
        <w:t>contrôleur de gestion</w:t>
      </w:r>
      <w:r>
        <w:rPr>
          <w:highlight w:val="green"/>
        </w:rPr>
        <w:fldChar w:fldCharType="begin"/>
      </w:r>
      <w:r>
        <w:rPr>
          <w:highlight w:val="green"/>
        </w:rPr>
        <w:instrText xml:space="preserve"> XE "</w:instrText>
      </w:r>
      <w:r>
        <w:rPr>
          <w:noProof/>
          <w:highlight w:val="green"/>
        </w:rPr>
        <w:instrText>Contrôleur de gestion</w:instrText>
      </w:r>
      <w:r>
        <w:rPr>
          <w:highlight w:val="green"/>
        </w:rPr>
        <w:instrText xml:space="preserve">" </w:instrText>
      </w:r>
      <w:r>
        <w:rPr>
          <w:highlight w:val="green"/>
        </w:rPr>
        <w:fldChar w:fldCharType="end"/>
      </w:r>
      <w:r>
        <w:t xml:space="preserve"> est donc le professionnel chargé essentiellement d’organiser efficacement les procédures de traitement de l’information permettant un bon fonctionnement de ce mécanisme de régulation.</w:t>
      </w:r>
    </w:p>
    <w:p w14:paraId="44B84DA4" w14:textId="77777777" w:rsidR="005D07A6" w:rsidRDefault="00F42774">
      <w:pPr>
        <w:pStyle w:val="CTEspDessous"/>
      </w:pPr>
      <w:r>
        <w:t xml:space="preserve">Selon les entreprises, le rôle du contrôleur peut être plus ou moins large. Dans certains cas, il peut être très restreint, essentiellement technique, et se limiter à la production d’un certain nombre d’états de contrôle, par exemple à des états explicitant le calcul des </w:t>
      </w:r>
      <w:r>
        <w:lastRenderedPageBreak/>
        <w:t xml:space="preserve">écarts entre les prévisions budgétaires établies par les gestionnaires et les réalisations fournies par les comptables. Le </w:t>
      </w:r>
      <w:r>
        <w:rPr>
          <w:b/>
          <w:bCs/>
        </w:rPr>
        <w:t>contrôle de gestion</w:t>
      </w:r>
      <w:r>
        <w:rPr>
          <w:highlight w:val="green"/>
        </w:rPr>
        <w:fldChar w:fldCharType="begin"/>
      </w:r>
      <w:r>
        <w:rPr>
          <w:highlight w:val="green"/>
        </w:rPr>
        <w:instrText xml:space="preserve"> XE "</w:instrText>
      </w:r>
      <w:r>
        <w:rPr>
          <w:noProof/>
          <w:highlight w:val="green"/>
        </w:rPr>
        <w:instrText>Contrôle</w:instrText>
      </w:r>
      <w:r>
        <w:rPr>
          <w:highlight w:val="green"/>
        </w:rPr>
        <w:instrText>:</w:instrText>
      </w:r>
      <w:r>
        <w:rPr>
          <w:noProof/>
          <w:highlight w:val="green"/>
        </w:rPr>
        <w:instrText>– de gestion</w:instrText>
      </w:r>
      <w:r>
        <w:rPr>
          <w:highlight w:val="green"/>
        </w:rPr>
        <w:instrText xml:space="preserve">" </w:instrText>
      </w:r>
      <w:r>
        <w:rPr>
          <w:highlight w:val="green"/>
        </w:rPr>
        <w:fldChar w:fldCharType="end"/>
      </w:r>
      <w:r>
        <w:t xml:space="preserve"> se limite alors pratiquement à ce que l’on appelle le contrôle budgétaire, qui très souvent constitue le « cœur du métier ». Dans d’autres cas, il peut être beaucoup plus large, englobant par exemple la supervision de l’établissement des budgets, l’appréciation critique des performances, l’aide à la prise de certaines décisions, l’étude de la rentabilité des projets d’investissement, la définition de l’architecture du système d’information comptable, la définition des systèmes de récompenses et de sanctions (primes de rendement…). Dans certains cas, il ne fait qu’utiliser les informations de la comptabilité de gestion ; dans d’autres, il est responsable de cette partie du système comptable.</w:t>
      </w:r>
    </w:p>
    <w:p w14:paraId="6D876F1B" w14:textId="77777777" w:rsidR="005D07A6" w:rsidRDefault="00F42774">
      <w:pPr>
        <w:pStyle w:val="CTEspDessous"/>
      </w:pPr>
      <w:r>
        <w:t>Dans tous les cas, le système de contrôle de gestion a pour finalité de faciliter le « </w:t>
      </w:r>
      <w:r>
        <w:rPr>
          <w:b/>
          <w:bCs/>
        </w:rPr>
        <w:t>pilotage</w:t>
      </w:r>
      <w:r>
        <w:rPr>
          <w:highlight w:val="green"/>
        </w:rPr>
        <w:fldChar w:fldCharType="begin"/>
      </w:r>
      <w:r>
        <w:rPr>
          <w:highlight w:val="green"/>
        </w:rPr>
        <w:instrText xml:space="preserve"> XE "</w:instrText>
      </w:r>
      <w:r>
        <w:rPr>
          <w:noProof/>
          <w:highlight w:val="green"/>
        </w:rPr>
        <w:instrText>Pilotage</w:instrText>
      </w:r>
      <w:r>
        <w:rPr>
          <w:highlight w:val="green"/>
        </w:rPr>
        <w:instrText xml:space="preserve">" </w:instrText>
      </w:r>
      <w:r>
        <w:rPr>
          <w:highlight w:val="green"/>
        </w:rPr>
        <w:fldChar w:fldCharType="end"/>
      </w:r>
      <w:r>
        <w:t> » de l’entreprise : le pilote d’un navire ou d’un avion est chargé de le mener à bon port, en gardant le cap, mais en évitant les écueils (et, pour ce faire, il a besoin d’un gouvernail – nous revenons à la conception cybernétique du contrôle…). C’est le gestionnaire, et non pas le contrôleur, qui est le pilote et qui prend les décisions. Mais le gestionnaire doit pouvoir se fier à des instruments de navigation qui lui indiquent de façon fiable les dérives par rapport à la bonne trajectoire. Le contrôleur est, en quelque sorte, un spécialiste impliqué dans la conception, le fonctionnement et la maintenance du système de navigation.</w:t>
      </w:r>
    </w:p>
    <w:p w14:paraId="7FBE598A" w14:textId="77777777" w:rsidR="005D07A6" w:rsidRDefault="00F42774">
      <w:pPr>
        <w:pStyle w:val="CTEspDessous"/>
      </w:pPr>
      <w:r>
        <w:t>Le contrôleur de gestion ne peut pas résoudre miraculeusement tous les problèmes de gestion. Le fait d’avoir un excellent contrôle de gestion n’est pas suffisant pour avoir de bons résultats. Inversement, on peut très bien avoir d’excellents résultats sans avoir de contrôle de gestion, et le contrôleur doit faire attention de ne pas être simplement la « mouche du coche », pour reprendre l’image de la célèbre fable de La Fontaine…</w:t>
      </w:r>
    </w:p>
    <w:p w14:paraId="447DF15A" w14:textId="77777777" w:rsidR="005D07A6" w:rsidRDefault="00F42774">
      <w:pPr>
        <w:pStyle w:val="CTEspDessous"/>
      </w:pPr>
      <w:r>
        <w:t>Ceci nous amène à opérer un certain nombre de distinctions.</w:t>
      </w:r>
    </w:p>
    <w:p w14:paraId="2EA0EB07" w14:textId="77777777" w:rsidR="005D07A6" w:rsidRDefault="00F42774">
      <w:pPr>
        <w:pStyle w:val="T4"/>
      </w:pPr>
      <w:r>
        <w:t>I.</w:t>
      </w:r>
      <w:r>
        <w:tab/>
        <w:t>Il ne faut pas confondre « contrôle de gestion » et « gestion »</w:t>
      </w:r>
    </w:p>
    <w:p w14:paraId="6E654382" w14:textId="77777777" w:rsidR="005D07A6" w:rsidRDefault="00F42774">
      <w:pPr>
        <w:pStyle w:val="CTEspDessous"/>
      </w:pPr>
      <w:r>
        <w:t xml:space="preserve">Le </w:t>
      </w:r>
      <w:r>
        <w:rPr>
          <w:b/>
          <w:bCs/>
        </w:rPr>
        <w:t>contrôleur de gestion</w:t>
      </w:r>
      <w:r>
        <w:rPr>
          <w:highlight w:val="green"/>
        </w:rPr>
        <w:fldChar w:fldCharType="begin"/>
      </w:r>
      <w:r>
        <w:rPr>
          <w:highlight w:val="green"/>
        </w:rPr>
        <w:instrText xml:space="preserve"> XE "</w:instrText>
      </w:r>
      <w:r>
        <w:rPr>
          <w:noProof/>
          <w:highlight w:val="green"/>
        </w:rPr>
        <w:instrText>Contrôleur de gestion</w:instrText>
      </w:r>
      <w:r>
        <w:rPr>
          <w:highlight w:val="green"/>
        </w:rPr>
        <w:instrText xml:space="preserve">" </w:instrText>
      </w:r>
      <w:r>
        <w:rPr>
          <w:highlight w:val="green"/>
        </w:rPr>
        <w:fldChar w:fldCharType="end"/>
      </w:r>
      <w:r>
        <w:t xml:space="preserve"> n’est pas un gestionnaire ou un « </w:t>
      </w:r>
      <w:r>
        <w:rPr>
          <w:b/>
          <w:bCs/>
        </w:rPr>
        <w:t>manager</w:t>
      </w:r>
      <w:r>
        <w:t> ». C’est un « fonctionnel », plutôt en position de support. Il est là pour aider les opérationnels, mais ce n’est pas un opérationnel. Ce sont les commerciaux qui trouvent les clients, et les ingénieurs qui font tourner les usines, pas les contrôleurs. C’est un peu le même problème que pour les auditeurs, les commissaires aux comptes, qui n’ont pas à s’immiscer dans la gestion.</w:t>
      </w:r>
    </w:p>
    <w:p w14:paraId="3DDBB582" w14:textId="77777777" w:rsidR="005D07A6" w:rsidRDefault="00F42774">
      <w:pPr>
        <w:pStyle w:val="CTEspDessous"/>
      </w:pPr>
      <w:r>
        <w:t>Le contrôleur de gestion n’est pas non plus un supérieur hiérarchique ou un dirigeant. Par exemple, c’est à la direction générale (à l’état-major dans un grand groupe) que revient la responsabilité de définir la stratégie de l’entreprise, et le contrôle de gestion n’est qu’un moyen au service de la mise en œuvre de la stratégie.</w:t>
      </w:r>
    </w:p>
    <w:p w14:paraId="30CF09A1" w14:textId="77777777" w:rsidR="005D07A6" w:rsidRDefault="00F42774">
      <w:pPr>
        <w:pStyle w:val="CTEspDessous"/>
      </w:pPr>
      <w:r>
        <w:t>Par exemple, c’est la stratégie suivie qui détermine les facteurs-clés de succès, et donc la nature des indicateurs pertinents à inclure dans un tableau de bord.</w:t>
      </w:r>
    </w:p>
    <w:p w14:paraId="11B13152" w14:textId="77777777" w:rsidR="005D07A6" w:rsidRDefault="00F42774">
      <w:pPr>
        <w:pStyle w:val="CTEspDessous"/>
      </w:pPr>
      <w:r>
        <w:t>Mais, en retour, un contrôle de gestion efficace permet de faire remonter les informations indispensables à la prise de décision stratégique. Si un produit n’est pas rentable et entraîne des pertes hémorragiques, si une stratégie de diversification mène à une impasse et que la rentabilité attendue des capitaux investis n’est pas au rendez-vous, cela doit apparaître clairement dans les états de contrôle et contribuer à faire émerger une nouvelle politique, une nouvelle stratégie. Le pire, par exemple, c’est lorsque perdurent des « vases communicants », c’est-à-dire quand des pertes sur une activité sont masquées et compensées par des bénéfices sur d’autres activités. Lourde responsabilité pour le contrôleur de gestion !</w:t>
      </w:r>
    </w:p>
    <w:p w14:paraId="55BDC35F" w14:textId="77777777" w:rsidR="005D07A6" w:rsidRDefault="00F42774">
      <w:pPr>
        <w:pStyle w:val="T4"/>
      </w:pPr>
      <w:r>
        <w:t>II.</w:t>
      </w:r>
      <w:r>
        <w:tab/>
        <w:t>Il ne faut pas confondre « contrôle de gestion » et « audit »</w:t>
      </w:r>
    </w:p>
    <w:p w14:paraId="6BFCF045" w14:textId="77777777" w:rsidR="005D07A6" w:rsidRDefault="00F42774">
      <w:pPr>
        <w:pStyle w:val="CTEspDessous"/>
      </w:pPr>
      <w:r>
        <w:lastRenderedPageBreak/>
        <w:t xml:space="preserve">L’audit est un terme très général qui implique un diagnostic. Étymologiquement, le mot anglais </w:t>
      </w:r>
      <w:r>
        <w:rPr>
          <w:i/>
          <w:iCs/>
        </w:rPr>
        <w:t>audit</w:t>
      </w:r>
      <w:r>
        <w:t xml:space="preserve"> a les mêmes origines latines que les mots « audio » ou « audition », il vient du latin </w:t>
      </w:r>
      <w:r>
        <w:rPr>
          <w:i/>
          <w:iCs/>
        </w:rPr>
        <w:t>audire</w:t>
      </w:r>
      <w:r>
        <w:t xml:space="preserve"> qui signifie « écouter », « entendre ».</w:t>
      </w:r>
    </w:p>
    <w:p w14:paraId="619A8252" w14:textId="77777777" w:rsidR="005D07A6" w:rsidRDefault="00F42774">
      <w:pPr>
        <w:pStyle w:val="debutfilet"/>
      </w:pPr>
      <w:r>
        <w:t>Definition</w:t>
      </w:r>
    </w:p>
    <w:p w14:paraId="7F867C58" w14:textId="77777777" w:rsidR="005D07A6" w:rsidRDefault="00F42774">
      <w:pPr>
        <w:pStyle w:val="LibelleRubrique"/>
      </w:pPr>
      <w:r>
        <w:t>Définition</w:t>
      </w:r>
    </w:p>
    <w:p w14:paraId="655D4622" w14:textId="77777777" w:rsidR="005D07A6" w:rsidRDefault="00F42774">
      <w:pPr>
        <w:pStyle w:val="CT"/>
      </w:pPr>
      <w:r>
        <w:t>L’</w:t>
      </w:r>
      <w:r>
        <w:rPr>
          <w:b/>
          <w:bCs/>
          <w:i/>
          <w:iCs/>
          <w:color w:val="FF0000"/>
        </w:rPr>
        <w:t>audit</w:t>
      </w:r>
      <w:r>
        <w:rPr>
          <w:highlight w:val="green"/>
        </w:rPr>
        <w:fldChar w:fldCharType="begin"/>
      </w:r>
      <w:r>
        <w:rPr>
          <w:highlight w:val="green"/>
        </w:rPr>
        <w:instrText xml:space="preserve"> XE "</w:instrText>
      </w:r>
      <w:r>
        <w:rPr>
          <w:noProof/>
          <w:highlight w:val="green"/>
        </w:rPr>
        <w:instrText>Audit</w:instrText>
      </w:r>
      <w:r>
        <w:rPr>
          <w:highlight w:val="green"/>
        </w:rPr>
        <w:instrText xml:space="preserve">" </w:instrText>
      </w:r>
      <w:r>
        <w:rPr>
          <w:highlight w:val="green"/>
        </w:rPr>
        <w:fldChar w:fldCharType="end"/>
      </w:r>
      <w:r>
        <w:t xml:space="preserve"> est une procédure menée par une personne </w:t>
      </w:r>
      <w:r>
        <w:rPr>
          <w:i/>
          <w:iCs/>
        </w:rPr>
        <w:t>a priori</w:t>
      </w:r>
      <w:r>
        <w:t xml:space="preserve"> indépendante qui « écoute » (et « observe ») afin de porter un diagnostic si possible neutre ; il n’y a pas de « jugement ».</w:t>
      </w:r>
    </w:p>
    <w:p w14:paraId="46588475" w14:textId="77777777" w:rsidR="005D07A6" w:rsidRDefault="00F42774">
      <w:pPr>
        <w:pStyle w:val="finfilet"/>
      </w:pPr>
      <w:r>
        <w:t>Fin Definition</w:t>
      </w:r>
    </w:p>
    <w:p w14:paraId="4CDE4AE1" w14:textId="77777777" w:rsidR="005D07A6" w:rsidRDefault="00F42774">
      <w:pPr>
        <w:pStyle w:val="CTEspDessous"/>
      </w:pPr>
      <w:r>
        <w:t>Le terme « audit » est extrêmement général. C’est son intérêt car il peut être utilisé dans des contextes extrêmement variés, mais aussi sa limite car il peut conduire à des incompréhensions ou des malentendus.</w:t>
      </w:r>
    </w:p>
    <w:p w14:paraId="06EB736E" w14:textId="77777777" w:rsidR="005D07A6" w:rsidRDefault="00F42774">
      <w:pPr>
        <w:pStyle w:val="CTEspDessous"/>
      </w:pPr>
      <w:r>
        <w:t>Une entreprise peut faire appel à un cabinet de conseil pour avoir un audit général de sa situation ou un audit limité à une fonction particulière (audit commercial, audit technologique, audit financier…). Dans les grandes entreprises, il existe souvent un service d’audit interne : les auditeurs internes sont des inspecteurs que l’on envoie dans les différents établissements pour vérifier que les procédures sont bien respectées (les procédures, pas les performances).</w:t>
      </w:r>
    </w:p>
    <w:p w14:paraId="11B806B3" w14:textId="77777777" w:rsidR="005D07A6" w:rsidRDefault="00F42774">
      <w:pPr>
        <w:pStyle w:val="CTEspDessous"/>
      </w:pPr>
      <w:r>
        <w:t>Dans le domaine comptable et financier, on distingue l’audit légal de l’audit contractuel. L’audit légal est une obligation pour les sociétés par actions, et est réalisé par les commissaires aux comptes, dont le but est de donner aux actionnaires, par leur rapport, l’assurance que les états financiers établis par la direction sont fiables, sans jugement de valeur sur les résultats obtenus et sans immixtion dans la gestion. L’audit contractuel utilise les mêmes techniques mais est réalisé en dehors de toute obligation légale, par exemple en cas de rachat d’une entreprise : l’acheteur veut une confirmation de la situation financière.</w:t>
      </w:r>
    </w:p>
    <w:p w14:paraId="5BE5BC4B" w14:textId="77777777" w:rsidR="005D07A6" w:rsidRDefault="00F42774">
      <w:pPr>
        <w:pStyle w:val="T4"/>
      </w:pPr>
      <w:r>
        <w:t>III.</w:t>
      </w:r>
      <w:r>
        <w:tab/>
        <w:t>Il ne faut pas confondre « contrôle de gestion » et « contrôle interne »</w:t>
      </w:r>
    </w:p>
    <w:p w14:paraId="17757D17" w14:textId="77777777" w:rsidR="005D07A6" w:rsidRDefault="00F42774">
      <w:pPr>
        <w:pStyle w:val="debutfilet"/>
      </w:pPr>
      <w:r>
        <w:t>Definition</w:t>
      </w:r>
    </w:p>
    <w:p w14:paraId="114C87CB" w14:textId="77777777" w:rsidR="005D07A6" w:rsidRDefault="00F42774">
      <w:pPr>
        <w:pStyle w:val="LibelleRubrique"/>
      </w:pPr>
      <w:r>
        <w:t>Définition</w:t>
      </w:r>
    </w:p>
    <w:p w14:paraId="40021F35" w14:textId="77777777" w:rsidR="005D07A6" w:rsidRDefault="00F42774">
      <w:pPr>
        <w:pStyle w:val="CT"/>
      </w:pPr>
      <w:r>
        <w:t xml:space="preserve">Le </w:t>
      </w:r>
      <w:r>
        <w:rPr>
          <w:b/>
          <w:bCs/>
          <w:i/>
          <w:iCs/>
          <w:color w:val="FF0000"/>
        </w:rPr>
        <w:t>contrôle interne</w:t>
      </w:r>
      <w:r>
        <w:rPr>
          <w:highlight w:val="green"/>
        </w:rPr>
        <w:fldChar w:fldCharType="begin"/>
      </w:r>
      <w:r>
        <w:rPr>
          <w:highlight w:val="green"/>
        </w:rPr>
        <w:instrText xml:space="preserve"> XE "</w:instrText>
      </w:r>
      <w:r>
        <w:rPr>
          <w:noProof/>
          <w:highlight w:val="green"/>
        </w:rPr>
        <w:instrText>Contrôle</w:instrText>
      </w:r>
      <w:r>
        <w:rPr>
          <w:highlight w:val="green"/>
        </w:rPr>
        <w:instrText>:</w:instrText>
      </w:r>
      <w:r>
        <w:rPr>
          <w:noProof/>
          <w:highlight w:val="green"/>
        </w:rPr>
        <w:instrText>– interne</w:instrText>
      </w:r>
      <w:r>
        <w:rPr>
          <w:highlight w:val="green"/>
        </w:rPr>
        <w:instrText xml:space="preserve">" </w:instrText>
      </w:r>
      <w:r>
        <w:rPr>
          <w:highlight w:val="green"/>
        </w:rPr>
        <w:fldChar w:fldCharType="end"/>
      </w:r>
      <w:r>
        <w:t xml:space="preserve"> est un ensemble de principes et de procédures liés à l’organisation du système comptable permettant de sauvegarder le patrimoine de l’entreprise et d’assurer la fiabilité des états financiers.</w:t>
      </w:r>
    </w:p>
    <w:p w14:paraId="2C741164" w14:textId="77777777" w:rsidR="005D07A6" w:rsidRDefault="00F42774">
      <w:pPr>
        <w:pStyle w:val="finfilet"/>
      </w:pPr>
      <w:r>
        <w:t>Fin Definition</w:t>
      </w:r>
    </w:p>
    <w:p w14:paraId="7BCBFAB2" w14:textId="77777777" w:rsidR="005D07A6" w:rsidRDefault="00F42774">
      <w:pPr>
        <w:pStyle w:val="CTEspDessous"/>
      </w:pPr>
      <w:r>
        <w:t>Si aucune procédure d’inventaire permanent n’est organisée, on ne peut contrôler ni les entrées, ni les sorties, le montant des stocks figurant au bilan est peu crédible et des détournements sont possibles. L’une des bases du contrôle interne est constituée par le principe de séparation des fonctions. Si le vendeur est en même temps caissier, il sera tenté d’escamoter une partie de la recette…</w:t>
      </w:r>
    </w:p>
    <w:p w14:paraId="5B5D88E8" w14:textId="77777777" w:rsidR="005D07A6" w:rsidRDefault="00F42774">
      <w:pPr>
        <w:pStyle w:val="CTEspDessous"/>
      </w:pPr>
      <w:r>
        <w:t>Mais il est évident que de nombreuses interactions existent entre ces différentes fonctions. Par exemple, le commissaire aux comptes doit s’assurer de la continuité de l’exploitation, ce qui suppose une gestion efficiente, et donc un bon contrôle de gestion. De même, si le contrôle interne est déficient, et que des malversations sont possibles, le contrôle de gestion ne pourra que constater de mauvaises performances, sans que les gestionnaires puissent faire grand-chose.</w:t>
      </w:r>
    </w:p>
    <w:p w14:paraId="2E5A0B11" w14:textId="77777777" w:rsidR="005D07A6" w:rsidRDefault="00F42774">
      <w:pPr>
        <w:pStyle w:val="CTEspDessous"/>
      </w:pPr>
      <w:r>
        <w:t>Un autre problème important concerne la place des contrôleurs de gestion dans l’organigramme. Dans certains cas, le contrôle de gestion est coiffé par la direction administrative et financière. Dans d’autres, il est rattaché directement à la direction générale. Dans les grandes entreprises, il peut être éclaté à différents niveaux avec, par exemple, un contrôle central au niveau du groupe et des antennes dans les différentes filiales ou établissements.</w:t>
      </w:r>
    </w:p>
    <w:p w14:paraId="4F675C66" w14:textId="77777777" w:rsidR="005D07A6" w:rsidRDefault="00F42774">
      <w:pPr>
        <w:pStyle w:val="T3"/>
      </w:pPr>
      <w:r>
        <w:lastRenderedPageBreak/>
        <w:t>section 5.</w:t>
      </w:r>
      <w:r>
        <w:tab/>
        <w:t>Les outils du contrôle de gestion</w:t>
      </w:r>
    </w:p>
    <w:p w14:paraId="4B508AFF" w14:textId="77777777" w:rsidR="005D07A6" w:rsidRDefault="00F42774">
      <w:pPr>
        <w:pStyle w:val="CT"/>
      </w:pPr>
      <w:r>
        <w:t xml:space="preserve">Le </w:t>
      </w:r>
      <w:r>
        <w:rPr>
          <w:b/>
          <w:bCs/>
        </w:rPr>
        <w:t>contrôle de gestion</w:t>
      </w:r>
      <w:r>
        <w:rPr>
          <w:highlight w:val="green"/>
        </w:rPr>
        <w:fldChar w:fldCharType="begin"/>
      </w:r>
      <w:r>
        <w:rPr>
          <w:highlight w:val="green"/>
        </w:rPr>
        <w:instrText xml:space="preserve"> XE "</w:instrText>
      </w:r>
      <w:r>
        <w:rPr>
          <w:noProof/>
          <w:highlight w:val="green"/>
        </w:rPr>
        <w:instrText>Contrôle</w:instrText>
      </w:r>
      <w:r>
        <w:rPr>
          <w:highlight w:val="green"/>
        </w:rPr>
        <w:instrText>:</w:instrText>
      </w:r>
      <w:r>
        <w:rPr>
          <w:noProof/>
          <w:highlight w:val="green"/>
        </w:rPr>
        <w:instrText>– de gestion</w:instrText>
      </w:r>
      <w:r>
        <w:rPr>
          <w:highlight w:val="green"/>
        </w:rPr>
        <w:instrText xml:space="preserve">" </w:instrText>
      </w:r>
      <w:r>
        <w:rPr>
          <w:highlight w:val="green"/>
        </w:rPr>
        <w:fldChar w:fldCharType="end"/>
      </w:r>
      <w:r>
        <w:t xml:space="preserve"> utilise principalement des informations de nature comptable et financière, parce que c’est la </w:t>
      </w:r>
      <w:r>
        <w:rPr>
          <w:b/>
          <w:bCs/>
        </w:rPr>
        <w:t>comptabilité</w:t>
      </w:r>
      <w:r>
        <w:rPr>
          <w:highlight w:val="green"/>
        </w:rPr>
        <w:fldChar w:fldCharType="begin"/>
      </w:r>
      <w:r>
        <w:rPr>
          <w:highlight w:val="green"/>
        </w:rPr>
        <w:instrText xml:space="preserve"> XE "</w:instrText>
      </w:r>
      <w:r>
        <w:rPr>
          <w:noProof/>
          <w:highlight w:val="green"/>
        </w:rPr>
        <w:instrText>Comptabilité</w:instrText>
      </w:r>
      <w:r>
        <w:rPr>
          <w:highlight w:val="green"/>
        </w:rPr>
        <w:instrText xml:space="preserve">" </w:instrText>
      </w:r>
      <w:r>
        <w:rPr>
          <w:highlight w:val="green"/>
        </w:rPr>
        <w:fldChar w:fldCharType="end"/>
      </w:r>
      <w:r>
        <w:t xml:space="preserve"> qui constitue souvent le </w:t>
      </w:r>
      <w:r>
        <w:rPr>
          <w:b/>
          <w:bCs/>
        </w:rPr>
        <w:t>système d’information</w:t>
      </w:r>
      <w:r>
        <w:rPr>
          <w:highlight w:val="green"/>
        </w:rPr>
        <w:fldChar w:fldCharType="begin"/>
      </w:r>
      <w:r>
        <w:rPr>
          <w:highlight w:val="green"/>
        </w:rPr>
        <w:instrText xml:space="preserve"> XE "</w:instrText>
      </w:r>
      <w:r>
        <w:rPr>
          <w:noProof/>
          <w:highlight w:val="green"/>
        </w:rPr>
        <w:instrText>Système</w:instrText>
      </w:r>
      <w:r>
        <w:rPr>
          <w:highlight w:val="green"/>
        </w:rPr>
        <w:instrText>:</w:instrText>
      </w:r>
      <w:r>
        <w:rPr>
          <w:noProof/>
          <w:highlight w:val="green"/>
        </w:rPr>
        <w:instrText>– d’information</w:instrText>
      </w:r>
      <w:r>
        <w:rPr>
          <w:highlight w:val="green"/>
        </w:rPr>
        <w:instrText xml:space="preserve">" </w:instrText>
      </w:r>
      <w:r>
        <w:rPr>
          <w:highlight w:val="green"/>
        </w:rPr>
        <w:fldChar w:fldCharType="end"/>
      </w:r>
      <w:r>
        <w:t xml:space="preserve"> le plus structuré et qui fournit, même si elles sont biaisées, des informations relativement fiables parce que vérifiables grâce aux techniques d’audit. On ne peut pas contrôler après coup par exemple un inventaire physique, mais on peut contrôler après coup une dépense avec la facture qui est comptabilisée et archivée.</w:t>
      </w:r>
    </w:p>
    <w:p w14:paraId="6BF13F96" w14:textId="77777777" w:rsidR="005D07A6" w:rsidRDefault="00F42774">
      <w:pPr>
        <w:pStyle w:val="CT"/>
      </w:pPr>
      <w:r>
        <w:t xml:space="preserve">Le contrôle de gestion utilise donc beaucoup la comptabilité (notamment la </w:t>
      </w:r>
      <w:r>
        <w:rPr>
          <w:b/>
          <w:bCs/>
        </w:rPr>
        <w:t>comptabilité de gestion</w:t>
      </w:r>
      <w:r>
        <w:rPr>
          <w:highlight w:val="green"/>
        </w:rPr>
        <w:fldChar w:fldCharType="begin"/>
      </w:r>
      <w:r>
        <w:rPr>
          <w:highlight w:val="green"/>
        </w:rPr>
        <w:instrText xml:space="preserve"> XE "</w:instrText>
      </w:r>
      <w:r>
        <w:rPr>
          <w:noProof/>
          <w:highlight w:val="green"/>
        </w:rPr>
        <w:instrText>Comptabilité</w:instrText>
      </w:r>
      <w:r>
        <w:rPr>
          <w:highlight w:val="green"/>
        </w:rPr>
        <w:instrText>:</w:instrText>
      </w:r>
      <w:r>
        <w:rPr>
          <w:noProof/>
          <w:highlight w:val="green"/>
        </w:rPr>
        <w:instrText>– de gestion</w:instrText>
      </w:r>
      <w:r>
        <w:rPr>
          <w:highlight w:val="green"/>
        </w:rPr>
        <w:instrText xml:space="preserve">" </w:instrText>
      </w:r>
      <w:r>
        <w:rPr>
          <w:highlight w:val="green"/>
        </w:rPr>
        <w:fldChar w:fldCharType="end"/>
      </w:r>
      <w:r>
        <w:t>), pour faire des rapprochements avec les prévisions, notamment budgétaires. Mais il utilise également d’autres sources, comme des statistiques physiques (volumes de production, rendements), ainsi que des indicateurs plus qualitatifs (ex. : indices de satisfaction des clients).</w:t>
      </w:r>
    </w:p>
    <w:p w14:paraId="21214D5D" w14:textId="77777777" w:rsidR="005D07A6" w:rsidRDefault="00F42774">
      <w:pPr>
        <w:pStyle w:val="CT"/>
      </w:pPr>
      <w:r>
        <w:t>Concrètement, le contrôleur de gestion est responsable de la production périodique d’états de contrôle :</w:t>
      </w:r>
    </w:p>
    <w:p w14:paraId="15A1A39B" w14:textId="77777777" w:rsidR="005D07A6" w:rsidRDefault="00F42774">
      <w:pPr>
        <w:pStyle w:val="ET"/>
      </w:pPr>
      <w:r>
        <w:rPr>
          <w:b/>
          <w:bCs/>
        </w:rPr>
        <w:t>états de contrôle budgétaires</w:t>
      </w:r>
      <w:r>
        <w:rPr>
          <w:highlight w:val="green"/>
        </w:rPr>
        <w:fldChar w:fldCharType="begin"/>
      </w:r>
      <w:r>
        <w:rPr>
          <w:highlight w:val="green"/>
        </w:rPr>
        <w:instrText xml:space="preserve"> XE "</w:instrText>
      </w:r>
      <w:r>
        <w:rPr>
          <w:noProof/>
          <w:highlight w:val="green"/>
        </w:rPr>
        <w:instrText>Contrôle</w:instrText>
      </w:r>
      <w:r>
        <w:rPr>
          <w:highlight w:val="green"/>
        </w:rPr>
        <w:instrText>:</w:instrText>
      </w:r>
      <w:r>
        <w:rPr>
          <w:noProof/>
          <w:highlight w:val="green"/>
        </w:rPr>
        <w:instrText>– budgétaire</w:instrText>
      </w:r>
      <w:r>
        <w:rPr>
          <w:highlight w:val="green"/>
        </w:rPr>
        <w:instrText xml:space="preserve">" </w:instrText>
      </w:r>
      <w:r>
        <w:rPr>
          <w:highlight w:val="green"/>
        </w:rPr>
        <w:fldChar w:fldCharType="end"/>
      </w:r>
      <w:r>
        <w:t xml:space="preserve"> (écarts entre prévisions et réalisations) ;</w:t>
      </w:r>
    </w:p>
    <w:p w14:paraId="750E3B56" w14:textId="77777777" w:rsidR="005D07A6" w:rsidRDefault="00F42774">
      <w:pPr>
        <w:pStyle w:val="ET"/>
      </w:pPr>
      <w:r>
        <w:rPr>
          <w:b/>
          <w:bCs/>
        </w:rPr>
        <w:t>tableaux de bord</w:t>
      </w:r>
      <w:r>
        <w:rPr>
          <w:highlight w:val="green"/>
        </w:rPr>
        <w:fldChar w:fldCharType="begin"/>
      </w:r>
      <w:r>
        <w:rPr>
          <w:highlight w:val="green"/>
        </w:rPr>
        <w:instrText xml:space="preserve"> XE "</w:instrText>
      </w:r>
      <w:r>
        <w:rPr>
          <w:noProof/>
          <w:highlight w:val="green"/>
        </w:rPr>
        <w:instrText>Tableau</w:instrText>
      </w:r>
      <w:r>
        <w:rPr>
          <w:highlight w:val="green"/>
        </w:rPr>
        <w:instrText>:</w:instrText>
      </w:r>
      <w:r>
        <w:rPr>
          <w:noProof/>
          <w:highlight w:val="green"/>
        </w:rPr>
        <w:instrText>– de bord</w:instrText>
      </w:r>
      <w:r>
        <w:rPr>
          <w:highlight w:val="green"/>
        </w:rPr>
        <w:instrText xml:space="preserve">" </w:instrText>
      </w:r>
      <w:r>
        <w:rPr>
          <w:highlight w:val="green"/>
        </w:rPr>
        <w:fldChar w:fldCharType="end"/>
      </w:r>
      <w:r>
        <w:t xml:space="preserve"> (qui associent généralement, justement, des indicateurs financiers et des indicateurs non financiers, pour une meilleure information) ;</w:t>
      </w:r>
    </w:p>
    <w:p w14:paraId="3E073DC4" w14:textId="77777777" w:rsidR="005D07A6" w:rsidRDefault="00F42774">
      <w:pPr>
        <w:pStyle w:val="ET"/>
      </w:pPr>
      <w:r>
        <w:rPr>
          <w:b/>
          <w:bCs/>
        </w:rPr>
        <w:t>états de reporting</w:t>
      </w:r>
      <w:r>
        <w:t xml:space="preserve"> (surtout dans les groupes, pour permettre un suivi régulier des performances financières des filiales).</w:t>
      </w:r>
    </w:p>
    <w:p w14:paraId="36D954DB" w14:textId="77777777" w:rsidR="005D07A6" w:rsidRDefault="00F42774">
      <w:pPr>
        <w:pStyle w:val="CT"/>
      </w:pPr>
      <w:r>
        <w:t xml:space="preserve">Du fait du lien entre </w:t>
      </w:r>
      <w:r>
        <w:rPr>
          <w:b/>
          <w:bCs/>
        </w:rPr>
        <w:t>décentralisation des responsabilités</w:t>
      </w:r>
      <w:r>
        <w:rPr>
          <w:highlight w:val="green"/>
        </w:rPr>
        <w:fldChar w:fldCharType="begin"/>
      </w:r>
      <w:r>
        <w:rPr>
          <w:highlight w:val="green"/>
        </w:rPr>
        <w:instrText xml:space="preserve"> XE "</w:instrText>
      </w:r>
      <w:r>
        <w:rPr>
          <w:noProof/>
          <w:highlight w:val="green"/>
        </w:rPr>
        <w:instrText>Décentralisation des responsabilités</w:instrText>
      </w:r>
      <w:r>
        <w:rPr>
          <w:highlight w:val="green"/>
        </w:rPr>
        <w:instrText xml:space="preserve">" </w:instrText>
      </w:r>
      <w:r>
        <w:rPr>
          <w:highlight w:val="green"/>
        </w:rPr>
        <w:fldChar w:fldCharType="end"/>
      </w:r>
      <w:r>
        <w:t xml:space="preserve"> et contrôle de gestion, ces états s’adressent à la fois :</w:t>
      </w:r>
    </w:p>
    <w:p w14:paraId="4A99286E" w14:textId="77777777" w:rsidR="005D07A6" w:rsidRDefault="00F42774">
      <w:pPr>
        <w:pStyle w:val="ET"/>
      </w:pPr>
      <w:r>
        <w:t>aux opérationnels, pour que ceux-ci reçoivent un feed-back sur leur gestion et puissent « piloter » leur unité, en ayant les informations leur permettant de corriger les dérapages (l’expression « tableau de bord », utilisée de façon métaphorique, renvoie fort justement à cette image du « pilotage ») ;</w:t>
      </w:r>
    </w:p>
    <w:p w14:paraId="70B0D9C0" w14:textId="77777777" w:rsidR="005D07A6" w:rsidRDefault="00F42774">
      <w:pPr>
        <w:pStyle w:val="ET"/>
      </w:pPr>
      <w:r>
        <w:t>à la hiérarchie, de façon synthétique. Normalement, les dérapages sont contrôlés par les opérationnels, et la hiérarchie n’intervient que si les écarts persistent, selon le principe de la « gestion par exception », en sanctionnant les responsables.</w:t>
      </w:r>
    </w:p>
    <w:p w14:paraId="4B9E9A21" w14:textId="77777777" w:rsidR="005D07A6" w:rsidRDefault="00F42774">
      <w:pPr>
        <w:pStyle w:val="CT"/>
      </w:pPr>
      <w:r>
        <w:t>Ceci permet de comprendre la nature « pyramidale » ou « gigogne » des systèmes de contrôle de gestion. Par exemple, dans une entreprise de distribution, le directeur de chaque magasin aura son tableau de bord périodique, assez détaillé, et le directeur commercial aura le sien, plus synthétique, reprenant quelques chiffres clés par magasin, pour pouvoir détecter immédiatement les magasins qui marchent bien et ceux qui sont à la traîne. La direction générale aura aussi son tableau de bord, mais celui-ci ne sera pas évidemment limité aux opérations commerciales : il fera la synthèse des différentes fonctions.</w:t>
      </w:r>
    </w:p>
    <w:p w14:paraId="1E8BB5BD" w14:textId="77777777" w:rsidR="005D07A6" w:rsidRDefault="00F42774">
      <w:pPr>
        <w:pStyle w:val="CT"/>
      </w:pPr>
      <w:r>
        <w:t>Plus généralement, dans une grande entreprise, on peut avoir 3, 4, 5 niveaux ou plus. Par exemple (ce n’est qu’un exemple, il n’y a rien de normatif) :</w:t>
      </w:r>
    </w:p>
    <w:p w14:paraId="70C7CDA7" w14:textId="77777777" w:rsidR="005D07A6" w:rsidRDefault="00F42774">
      <w:pPr>
        <w:pStyle w:val="CT"/>
        <w:jc w:val="center"/>
      </w:pPr>
      <w:r>
        <w:rPr>
          <w:noProof/>
        </w:rPr>
        <w:drawing>
          <wp:inline distT="0" distB="0" distL="0" distR="0" wp14:anchorId="020D3081" wp14:editId="4F0A7FAE">
            <wp:extent cx="3304318" cy="1268078"/>
            <wp:effectExtent l="0" t="0" r="0" b="8890"/>
            <wp:docPr id="10" name="Image 10" descr="Pas de visualisation pour [UE202526_433_S1_fichiers/UE121S1_014.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s de visualisation pour [UE202526_433_S1_fichiers/UE121S1_014.png] !"/>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4318" cy="1268078"/>
                    </a:xfrm>
                    <a:prstGeom prst="rect">
                      <a:avLst/>
                    </a:prstGeom>
                    <a:noFill/>
                    <a:ln>
                      <a:noFill/>
                    </a:ln>
                  </pic:spPr>
                </pic:pic>
              </a:graphicData>
            </a:graphic>
          </wp:inline>
        </w:drawing>
      </w:r>
      <w:r>
        <w:t>&lt;image&gt;UE121S1_014.png&lt;/image&gt;</w:t>
      </w:r>
    </w:p>
    <w:p w14:paraId="3C297023" w14:textId="77777777" w:rsidR="005D07A6" w:rsidRDefault="00F42774">
      <w:pPr>
        <w:pStyle w:val="CTEspDessous"/>
      </w:pPr>
      <w:r>
        <w:t>À chaque niveau, le responsable doit avoir un feed-back sur l’ensemble des unités qu’il supervise.</w:t>
      </w:r>
    </w:p>
    <w:p w14:paraId="1CBFBAEB" w14:textId="77777777" w:rsidR="005D07A6" w:rsidRDefault="00F42774">
      <w:pPr>
        <w:pStyle w:val="CTEspDessous"/>
      </w:pPr>
      <w:r>
        <w:lastRenderedPageBreak/>
        <w:t>Plus on est vers le bas, plus on peut se contenter d’indicateurs physiques (niveau 1 du fonctionnement quotidien, les rendements dans les ateliers ou les volumes de ventes par exemple).</w:t>
      </w:r>
    </w:p>
    <w:p w14:paraId="027298CD" w14:textId="77777777" w:rsidR="005D07A6" w:rsidRDefault="00F42774">
      <w:pPr>
        <w:pStyle w:val="CTEspDessous"/>
      </w:pPr>
      <w:r>
        <w:t>En revanche, plus on est vers le haut, plus on a besoin d’indicateurs synthétiques, donc nécessairement de nature comptable et financière, car on ne peut ajouter que des euros ou des dollars, pas des choux et des carottes. Au niveau 4, niveau stratégique, l’état-major d’un grand groupe s’occupe essentiellement des problèmes de rentabilité du capital investi dans les différents secteurs d’activité.</w:t>
      </w:r>
    </w:p>
    <w:p w14:paraId="015C9245" w14:textId="77777777" w:rsidR="005D07A6" w:rsidRDefault="00F42774">
      <w:pPr>
        <w:pStyle w:val="CTEspDessous"/>
      </w:pPr>
      <w:r>
        <w:t xml:space="preserve">Entre les deux, c’est le </w:t>
      </w:r>
      <w:r>
        <w:rPr>
          <w:b/>
          <w:bCs/>
        </w:rPr>
        <w:t>pilotage</w:t>
      </w:r>
      <w:r>
        <w:rPr>
          <w:b/>
          <w:bCs/>
          <w:highlight w:val="green"/>
        </w:rPr>
        <w:fldChar w:fldCharType="begin"/>
      </w:r>
      <w:r>
        <w:rPr>
          <w:b/>
          <w:bCs/>
          <w:highlight w:val="green"/>
        </w:rPr>
        <w:instrText xml:space="preserve"> XE "</w:instrText>
      </w:r>
      <w:r>
        <w:rPr>
          <w:b/>
          <w:bCs/>
          <w:noProof/>
          <w:highlight w:val="green"/>
        </w:rPr>
        <w:instrText>Pilotage</w:instrText>
      </w:r>
      <w:r>
        <w:rPr>
          <w:b/>
          <w:bCs/>
          <w:highlight w:val="green"/>
        </w:rPr>
        <w:instrText xml:space="preserve">" </w:instrText>
      </w:r>
      <w:r>
        <w:rPr>
          <w:b/>
          <w:bCs/>
          <w:highlight w:val="green"/>
        </w:rPr>
        <w:fldChar w:fldCharType="end"/>
      </w:r>
      <w:r>
        <w:t xml:space="preserve"> par les </w:t>
      </w:r>
      <w:r>
        <w:rPr>
          <w:b/>
          <w:bCs/>
        </w:rPr>
        <w:t>tableaux de bord</w:t>
      </w:r>
      <w:r>
        <w:rPr>
          <w:b/>
          <w:bCs/>
          <w:highlight w:val="green"/>
        </w:rPr>
        <w:fldChar w:fldCharType="begin"/>
      </w:r>
      <w:r>
        <w:rPr>
          <w:b/>
          <w:bCs/>
          <w:highlight w:val="green"/>
        </w:rPr>
        <w:instrText xml:space="preserve"> XE "</w:instrText>
      </w:r>
      <w:r>
        <w:rPr>
          <w:b/>
          <w:bCs/>
          <w:noProof/>
          <w:highlight w:val="green"/>
        </w:rPr>
        <w:instrText>Tableau</w:instrText>
      </w:r>
      <w:r>
        <w:rPr>
          <w:b/>
          <w:bCs/>
          <w:highlight w:val="green"/>
        </w:rPr>
        <w:instrText>:</w:instrText>
      </w:r>
      <w:r>
        <w:rPr>
          <w:b/>
          <w:bCs/>
          <w:noProof/>
          <w:highlight w:val="green"/>
        </w:rPr>
        <w:instrText>– de bord</w:instrText>
      </w:r>
      <w:r>
        <w:rPr>
          <w:b/>
          <w:bCs/>
          <w:highlight w:val="green"/>
        </w:rPr>
        <w:instrText xml:space="preserve">" </w:instrText>
      </w:r>
      <w:r>
        <w:rPr>
          <w:b/>
          <w:bCs/>
          <w:highlight w:val="green"/>
        </w:rPr>
        <w:fldChar w:fldCharType="end"/>
      </w:r>
      <w:r>
        <w:t xml:space="preserve"> et le </w:t>
      </w:r>
      <w:r>
        <w:rPr>
          <w:b/>
          <w:bCs/>
        </w:rPr>
        <w:t>contrôle budgétaire</w:t>
      </w:r>
      <w:r>
        <w:rPr>
          <w:highlight w:val="green"/>
        </w:rPr>
        <w:fldChar w:fldCharType="begin"/>
      </w:r>
      <w:r>
        <w:rPr>
          <w:highlight w:val="green"/>
        </w:rPr>
        <w:instrText xml:space="preserve"> XE "</w:instrText>
      </w:r>
      <w:r>
        <w:rPr>
          <w:noProof/>
          <w:highlight w:val="green"/>
        </w:rPr>
        <w:instrText>Contrôle</w:instrText>
      </w:r>
      <w:r>
        <w:rPr>
          <w:highlight w:val="green"/>
        </w:rPr>
        <w:instrText>:</w:instrText>
      </w:r>
      <w:r>
        <w:rPr>
          <w:noProof/>
          <w:highlight w:val="green"/>
        </w:rPr>
        <w:instrText>– budgétaire</w:instrText>
      </w:r>
      <w:r>
        <w:rPr>
          <w:highlight w:val="green"/>
        </w:rPr>
        <w:instrText xml:space="preserve">" </w:instrText>
      </w:r>
      <w:r>
        <w:rPr>
          <w:highlight w:val="green"/>
        </w:rPr>
        <w:fldChar w:fldCharType="end"/>
      </w:r>
      <w:r>
        <w:t xml:space="preserve"> qui est déterminant. On peut distinguer le niveau 2, pilotage conjoncturel, pour lequel la problématique est d’utiliser de façon optimale les moyens de production, en fonction de la conjoncture (ainsi, un directeur d’usine aura à décider de mettre un atelier en chômage technique, ou au contraire de programmer des heures supplémentaires, en fonction de l’évolution du carnet de commandes), et le niveau 3, développement, pour lequel la problématique concerne le rythme de la mise en œuvre du plan d’investissement (le responsable d’une division ou d’une filiale peut différer ou accélérer la réalisation d’une tranche d’investissement).</w:t>
      </w:r>
    </w:p>
    <w:p w14:paraId="57641179" w14:textId="77777777" w:rsidR="005D07A6" w:rsidRDefault="00F42774">
      <w:pPr>
        <w:pStyle w:val="CTEspDessous"/>
      </w:pPr>
      <w:r>
        <w:t>Au niveau du système d’information, la même donnée élémentaire (une vente dans un magasin par exemple, ou une charge dans un atelier) va être progressivement traitée par agrégation et utilisée aux différents niveaux, pour que chaque responsable puisse avoir l’information pertinente. L’architecture du système de contrôle dépend donc de l’organisation de chaque entreprise ; il n’existe pas de système universel…</w:t>
      </w:r>
    </w:p>
    <w:p w14:paraId="34FF2678" w14:textId="77777777" w:rsidR="005D07A6" w:rsidRDefault="00F42774">
      <w:pPr>
        <w:pStyle w:val="CTEspDessous"/>
      </w:pPr>
      <w:r>
        <w:t xml:space="preserve">Il faut bien comprendre que le phénomène de </w:t>
      </w:r>
      <w:r>
        <w:rPr>
          <w:b/>
          <w:bCs/>
        </w:rPr>
        <w:t>rétroaction</w:t>
      </w:r>
      <w:r>
        <w:rPr>
          <w:highlight w:val="green"/>
        </w:rPr>
        <w:fldChar w:fldCharType="begin"/>
      </w:r>
      <w:r>
        <w:rPr>
          <w:highlight w:val="green"/>
        </w:rPr>
        <w:instrText xml:space="preserve"> XE "</w:instrText>
      </w:r>
      <w:r>
        <w:rPr>
          <w:noProof/>
          <w:highlight w:val="green"/>
        </w:rPr>
        <w:instrText>Rétroaction</w:instrText>
      </w:r>
      <w:r>
        <w:rPr>
          <w:highlight w:val="green"/>
        </w:rPr>
        <w:instrText xml:space="preserve">" </w:instrText>
      </w:r>
      <w:r>
        <w:rPr>
          <w:highlight w:val="green"/>
        </w:rPr>
        <w:fldChar w:fldCharType="end"/>
      </w:r>
      <w:r>
        <w:t xml:space="preserve"> sur les objectifs, évoqué plus haut, s’exprime à travers l’aspect hiérarchisé de ce système, dans la mesure où, à chaque niveau, les objectifs assignés dépendent des décisions prises au niveau supérieur. Les décisions stratégiques fixent les décisions d’investissement, qui déterminent ensuite les objectifs budgétaires annuels. Ces objectifs budgétaires annuels ne peuvent être atteints que si d’un mois à l’autre les variations conjoncturelles sont digérées par un pilotage efficace et si on peut « compter sur l’intendance », c’est-à-dire si on peut contenter sur un respect des normes opérationnelles, les rendements par exemple. D’où des phénomènes de rétroaction du type : pour respecter des marges attendues au niveau 2, pression pour revoir les normes de rendement du niveau 1. Cette norme est un objectif pour le niveau 1, mais un objet de décision au niveau 2, soumis à régulation par rétroaction.</w:t>
      </w:r>
    </w:p>
    <w:p w14:paraId="3B739652" w14:textId="77777777" w:rsidR="005D07A6" w:rsidRDefault="00F42774">
      <w:pPr>
        <w:pStyle w:val="T3"/>
      </w:pPr>
      <w:r>
        <w:t>section 6.</w:t>
      </w:r>
      <w:r>
        <w:tab/>
        <w:t>Les différentes approches du contrôle de gestion</w:t>
      </w:r>
    </w:p>
    <w:p w14:paraId="5C5AA1A0" w14:textId="77777777" w:rsidR="005D07A6" w:rsidRDefault="00F42774">
      <w:pPr>
        <w:pStyle w:val="T4"/>
      </w:pPr>
      <w:r>
        <w:t>I.</w:t>
      </w:r>
      <w:r>
        <w:tab/>
        <w:t>L’évolution historique du contrôle de gestion</w:t>
      </w:r>
    </w:p>
    <w:p w14:paraId="1BF76F2A" w14:textId="77777777" w:rsidR="005D07A6" w:rsidRDefault="00F42774">
      <w:pPr>
        <w:pStyle w:val="CTEspDessous"/>
      </w:pPr>
      <w:r>
        <w:t xml:space="preserve">Historiquement, on peut dire que le </w:t>
      </w:r>
      <w:r>
        <w:rPr>
          <w:b/>
          <w:bCs/>
        </w:rPr>
        <w:t>contrôle de gestion</w:t>
      </w:r>
      <w:r>
        <w:rPr>
          <w:highlight w:val="green"/>
        </w:rPr>
        <w:fldChar w:fldCharType="begin"/>
      </w:r>
      <w:r>
        <w:rPr>
          <w:highlight w:val="green"/>
        </w:rPr>
        <w:instrText xml:space="preserve"> XE "</w:instrText>
      </w:r>
      <w:r>
        <w:rPr>
          <w:noProof/>
          <w:highlight w:val="green"/>
        </w:rPr>
        <w:instrText>Contrôle</w:instrText>
      </w:r>
      <w:r>
        <w:rPr>
          <w:highlight w:val="green"/>
        </w:rPr>
        <w:instrText>:</w:instrText>
      </w:r>
      <w:r>
        <w:rPr>
          <w:noProof/>
          <w:highlight w:val="green"/>
        </w:rPr>
        <w:instrText>– de gestion</w:instrText>
      </w:r>
      <w:r>
        <w:rPr>
          <w:highlight w:val="green"/>
        </w:rPr>
        <w:instrText xml:space="preserve">" </w:instrText>
      </w:r>
      <w:r>
        <w:rPr>
          <w:highlight w:val="green"/>
        </w:rPr>
        <w:fldChar w:fldCharType="end"/>
      </w:r>
      <w:r>
        <w:t xml:space="preserve"> s’est surtout développé dans les grandes entreprises nord-américaines dans les années 1930, pour répondre à un besoin bien précis. Dans le cadre de la décentralisation des responsabilités au sein de grands ensembles industriels divisionnalisés, les directions cherchent à « contrôler à distance », à « contrôler par les chiffres » et mettent en place progressivement les procédures classiques de maîtrise des coûts par les standards et le contrôle budgétaire. Ces procédures forment ce que l’on appelle souvent le système Sloan-Brown</w:t>
      </w:r>
      <w:r>
        <w:rPr>
          <w:highlight w:val="green"/>
        </w:rPr>
        <w:fldChar w:fldCharType="begin"/>
      </w:r>
      <w:r>
        <w:rPr>
          <w:highlight w:val="green"/>
        </w:rPr>
        <w:instrText xml:space="preserve"> XE "</w:instrText>
      </w:r>
      <w:r>
        <w:rPr>
          <w:noProof/>
          <w:highlight w:val="green"/>
        </w:rPr>
        <w:instrText>Sloan-Brown</w:instrText>
      </w:r>
      <w:r>
        <w:rPr>
          <w:highlight w:val="green"/>
        </w:rPr>
        <w:instrText xml:space="preserve">" </w:instrText>
      </w:r>
      <w:r>
        <w:rPr>
          <w:highlight w:val="green"/>
        </w:rPr>
        <w:fldChar w:fldCharType="end"/>
      </w:r>
      <w:r>
        <w:t>, du nom des dirigeants de la General Motors qui les ont expérimentées et vulgarisées dans les années 1930.</w:t>
      </w:r>
    </w:p>
    <w:p w14:paraId="7E705148" w14:textId="77777777" w:rsidR="005D07A6" w:rsidRDefault="00F42774">
      <w:pPr>
        <w:pStyle w:val="CTEspDessous"/>
      </w:pPr>
      <w:r>
        <w:t>Il faut donc noter qu’à l’origine le contrôle de gestion est marqué par les principes de l’organisation taylorienne, triomphante à l’époque.</w:t>
      </w:r>
    </w:p>
    <w:p w14:paraId="35EB2BBF" w14:textId="77777777" w:rsidR="005D07A6" w:rsidRDefault="00F42774">
      <w:pPr>
        <w:pStyle w:val="CTEspDessous"/>
      </w:pPr>
      <w:r>
        <w:t xml:space="preserve">En France, l’introduction des techniques du </w:t>
      </w:r>
      <w:r>
        <w:rPr>
          <w:b/>
          <w:bCs/>
        </w:rPr>
        <w:t>contrôle de gestion</w:t>
      </w:r>
      <w:r>
        <w:t xml:space="preserve"> s’est accélérée à partir des années 1950. À cette époque, de nombreuses missions d’études (les « missions de </w:t>
      </w:r>
      <w:r>
        <w:lastRenderedPageBreak/>
        <w:t xml:space="preserve">productivité ») sont organisées outre-Atlantique et permettent aux responsables européens de s’initier au </w:t>
      </w:r>
      <w:r>
        <w:rPr>
          <w:b/>
          <w:bCs/>
        </w:rPr>
        <w:t>« management »</w:t>
      </w:r>
      <w:r>
        <w:t>.</w:t>
      </w:r>
    </w:p>
    <w:p w14:paraId="19FA0A24" w14:textId="77777777" w:rsidR="005D07A6" w:rsidRDefault="00F42774">
      <w:pPr>
        <w:pStyle w:val="CTEspDessous"/>
      </w:pPr>
      <w:r>
        <w:t>Parallèlement, il faut noter l’existence, en France, d’une longue tradition de réflexion originale en matière de comptabilité de gestion (travaux d’Émile Rimailho ou de la Cegos, par exemple).</w:t>
      </w:r>
    </w:p>
    <w:p w14:paraId="2863D30F" w14:textId="77777777" w:rsidR="005D07A6" w:rsidRDefault="00F42774">
      <w:pPr>
        <w:pStyle w:val="CTEspDessous"/>
      </w:pPr>
      <w:r>
        <w:t>Actuellement, on parle beaucoup d’une « crise » du contrôle de gestion et de la comptabilité de gestion, les techniques classiques étant jugées, par certains, inadaptées au nouveau contexte concurrentiel et on assiste à un renouvellement illustré par l’approche ABC, par exemple (voir le cours 2).</w:t>
      </w:r>
    </w:p>
    <w:p w14:paraId="18A4A0F9" w14:textId="77777777" w:rsidR="005D07A6" w:rsidRDefault="00F42774">
      <w:pPr>
        <w:pStyle w:val="CTEspDessous"/>
      </w:pPr>
      <w:r>
        <w:t xml:space="preserve">On assiste également à l’émergence d’une </w:t>
      </w:r>
      <w:r>
        <w:rPr>
          <w:b/>
          <w:bCs/>
        </w:rPr>
        <w:t>normalisation</w:t>
      </w:r>
      <w:r>
        <w:rPr>
          <w:highlight w:val="green"/>
        </w:rPr>
        <w:fldChar w:fldCharType="begin"/>
      </w:r>
      <w:r>
        <w:rPr>
          <w:highlight w:val="green"/>
        </w:rPr>
        <w:instrText xml:space="preserve"> XE "</w:instrText>
      </w:r>
      <w:r>
        <w:rPr>
          <w:noProof/>
          <w:highlight w:val="green"/>
        </w:rPr>
        <w:instrText>Normalisation</w:instrText>
      </w:r>
      <w:r>
        <w:rPr>
          <w:highlight w:val="green"/>
        </w:rPr>
        <w:instrText xml:space="preserve">" </w:instrText>
      </w:r>
      <w:r>
        <w:rPr>
          <w:highlight w:val="green"/>
        </w:rPr>
        <w:fldChar w:fldCharType="end"/>
      </w:r>
      <w:r>
        <w:t>.</w:t>
      </w:r>
    </w:p>
    <w:p w14:paraId="7EC01E9C" w14:textId="77777777" w:rsidR="005D07A6" w:rsidRDefault="00F42774">
      <w:pPr>
        <w:pStyle w:val="CTEspDessous"/>
      </w:pPr>
      <w:r>
        <w:t>L’organisation de la comptabilité de gestion et l’établissement des prévisions budgétaires sont traditionnellement considérés comme des outils de gestion interne relevant de la responsabilité de la direction générale et échappant à toute obligation légale ou à toute normalisation. Or, depuis quelques années, il se produit une évolution considérable dans ce domaine, illustrée par l’introduction, dans le droit comptable, d’obligations spécifiques.</w:t>
      </w:r>
    </w:p>
    <w:p w14:paraId="2B6342AE" w14:textId="77777777" w:rsidR="005D07A6" w:rsidRDefault="00F42774">
      <w:pPr>
        <w:pStyle w:val="CTEspDessous"/>
      </w:pPr>
      <w:r>
        <w:t xml:space="preserve">C’est ainsi que la </w:t>
      </w:r>
      <w:r>
        <w:rPr>
          <w:b/>
          <w:bCs/>
        </w:rPr>
        <w:t>loi du 1</w:t>
      </w:r>
      <w:r>
        <w:rPr>
          <w:b/>
          <w:bCs/>
          <w:vertAlign w:val="superscript"/>
        </w:rPr>
        <w:t>er</w:t>
      </w:r>
      <w:r>
        <w:rPr>
          <w:b/>
          <w:bCs/>
        </w:rPr>
        <w:t> mars 1984</w:t>
      </w:r>
      <w:r>
        <w:rPr>
          <w:highlight w:val="green"/>
        </w:rPr>
        <w:fldChar w:fldCharType="begin"/>
      </w:r>
      <w:r>
        <w:rPr>
          <w:highlight w:val="green"/>
        </w:rPr>
        <w:instrText xml:space="preserve"> XE "</w:instrText>
      </w:r>
      <w:r>
        <w:rPr>
          <w:noProof/>
          <w:highlight w:val="green"/>
        </w:rPr>
        <w:instrText>Loi du 1&lt;EXP&gt;er&lt;/EXP&gt; mars 1984</w:instrText>
      </w:r>
      <w:r>
        <w:rPr>
          <w:highlight w:val="green"/>
        </w:rPr>
        <w:instrText xml:space="preserve">" </w:instrText>
      </w:r>
      <w:r>
        <w:rPr>
          <w:highlight w:val="green"/>
        </w:rPr>
        <w:fldChar w:fldCharType="end"/>
      </w:r>
      <w:r>
        <w:t>, relative à la prévention et au règlement amiable des difficultés des entreprises, a introduit, en droit positif, le principe d’une obligation pour les entreprises d’une certaine taille d’établir certains documents prévisionnels comme le compte de résultat prévisionnel et le plan de financement et de les communiquer au conseil d’administration, aux commissaires aux comptes et au comité d’entreprise. Ce dispositif est appelé à jouer un rôle déterminant notamment dans la procédure d’alerte destinée à prévenir les difficultés.</w:t>
      </w:r>
    </w:p>
    <w:p w14:paraId="1A01D85E" w14:textId="77777777" w:rsidR="005D07A6" w:rsidRDefault="00F42774">
      <w:pPr>
        <w:pStyle w:val="CTEspDessous"/>
      </w:pPr>
      <w:r>
        <w:t>Dans de nombreux secteurs, il existe des réglementations spécifiques (par exemple, pour les entreprises appelées à soumissionner à certains marchés publics).</w:t>
      </w:r>
    </w:p>
    <w:p w14:paraId="53D648BE" w14:textId="77777777" w:rsidR="005D07A6" w:rsidRDefault="00F42774">
      <w:pPr>
        <w:pStyle w:val="CTEspDessous"/>
      </w:pPr>
      <w:r>
        <w:t>Par ailleurs, rappelons que le plan comptable 1982 prévoit de copieux développements sur les principes et les définitions de la comptabilité de gestion, qui s’imposent progressivement aux praticiens. Ceci devrait réduire progressivement l’opacité des documents analytiques et budgétaires des organisations. La « refonte à droit constant » du plan comptable en 1999 a essentiellement concerné la comptabilité générale (ou « financière »).</w:t>
      </w:r>
    </w:p>
    <w:p w14:paraId="5EB17C82" w14:textId="77777777" w:rsidR="005D07A6" w:rsidRDefault="00F42774">
      <w:pPr>
        <w:pStyle w:val="CTEspDessous"/>
      </w:pPr>
      <w:r>
        <w:t>Sur le plan international, notons que l’</w:t>
      </w:r>
      <w:r>
        <w:rPr>
          <w:b/>
          <w:bCs/>
        </w:rPr>
        <w:t>IFAC (International Federation of Accountants</w:t>
      </w:r>
      <w:r>
        <w:rPr>
          <w:b/>
          <w:bCs/>
          <w:highlight w:val="green"/>
        </w:rPr>
        <w:fldChar w:fldCharType="begin"/>
      </w:r>
      <w:r>
        <w:rPr>
          <w:b/>
          <w:bCs/>
          <w:highlight w:val="green"/>
        </w:rPr>
        <w:instrText xml:space="preserve"> XE "</w:instrText>
      </w:r>
      <w:r>
        <w:rPr>
          <w:b/>
          <w:bCs/>
          <w:noProof/>
          <w:highlight w:val="green"/>
        </w:rPr>
        <w:instrText>IFAC</w:instrText>
      </w:r>
      <w:r>
        <w:rPr>
          <w:b/>
          <w:bCs/>
          <w:highlight w:val="green"/>
        </w:rPr>
        <w:instrText xml:space="preserve">" </w:instrText>
      </w:r>
      <w:r>
        <w:rPr>
          <w:b/>
          <w:bCs/>
          <w:highlight w:val="green"/>
        </w:rPr>
        <w:fldChar w:fldCharType="end"/>
      </w:r>
      <w:r>
        <w:rPr>
          <w:b/>
          <w:bCs/>
        </w:rPr>
        <w:t>)</w:t>
      </w:r>
      <w:r>
        <w:t xml:space="preserve"> s’est engagée dans un travail de réflexion et de normalisation, non seulement en comptabilité financière, mais également dans des domaines intéressant la gestion analytique et budgétaire. Son Financial and Management Accounting Committee publie des recommandations (</w:t>
      </w:r>
      <w:r>
        <w:rPr>
          <w:i/>
          <w:iCs/>
        </w:rPr>
        <w:t>statements</w:t>
      </w:r>
      <w:r>
        <w:t>) concernant, par exemple, la définition des concepts de la comptabilité de gestion, les décisions d’investissement ou la gestion de projets. Il existe également de nombreuses contraintes en matière de « prix de transfert » (voir le cours 4).</w:t>
      </w:r>
    </w:p>
    <w:p w14:paraId="5A027F1C" w14:textId="77777777" w:rsidR="005D07A6" w:rsidRDefault="00F42774">
      <w:pPr>
        <w:pStyle w:val="T4"/>
      </w:pPr>
      <w:r>
        <w:t>II.</w:t>
      </w:r>
      <w:r>
        <w:tab/>
        <w:t>La dimension sociale du contrôle de gestion</w:t>
      </w:r>
    </w:p>
    <w:p w14:paraId="2CD346FD" w14:textId="77777777" w:rsidR="005D07A6" w:rsidRDefault="00F42774">
      <w:pPr>
        <w:pStyle w:val="CTEspDessous"/>
      </w:pPr>
      <w:r>
        <w:t xml:space="preserve">Notons que le système n’est théoriquement efficace que s’il est « bouclé » par un système de récompenses (primes, intéressements aux résultats, promotions…) et de sanctions (pouvant aller jusqu’à un licenciement) en fonction des écarts par rapport aux objectifs. Si on met en place un système de contrôle de gestion pour contrôler les directeurs des agences, et si ces directeurs sont des membres de la famille ou des amis politiques du patron, ce qui les rend « intouchables », même en cas de mauvaise gestion, on perd son temps et son argent : les procédures de contrôle ne seront qu’un </w:t>
      </w:r>
      <w:r>
        <w:rPr>
          <w:b/>
          <w:bCs/>
        </w:rPr>
        <w:t>rite formel</w:t>
      </w:r>
      <w:r>
        <w:t xml:space="preserve">, un </w:t>
      </w:r>
      <w:r>
        <w:rPr>
          <w:b/>
          <w:bCs/>
        </w:rPr>
        <w:t>simulacre</w:t>
      </w:r>
      <w:r>
        <w:t xml:space="preserve"> singeant les méthodes modernes de management, mais sans aucun effet sur les performances ! Même chose si les opérationnels peuvent se ménager du </w:t>
      </w:r>
      <w:r>
        <w:rPr>
          <w:i/>
          <w:iCs/>
        </w:rPr>
        <w:t>slack</w:t>
      </w:r>
      <w:r>
        <w:t xml:space="preserve"> (matelas de sécurité) dans la fixation de leur budget : les écarts mis en évidence ne serviront pas à grand-chose. Le contrôle budgétaire peut être perverti, détourné de son </w:t>
      </w:r>
      <w:r>
        <w:lastRenderedPageBreak/>
        <w:t>fonctionnement normal, et certaines recherches académiques ont pu mettre en doute l’utilité et l’efficacité des méthodes classiques et traditionnelles de contrôle, reposant essentiellement sur le budget et le contrôle budgétaire.</w:t>
      </w:r>
    </w:p>
    <w:p w14:paraId="40572E61" w14:textId="77777777" w:rsidR="005D07A6" w:rsidRDefault="00F42774">
      <w:pPr>
        <w:pStyle w:val="CTEspDessous"/>
      </w:pPr>
      <w:r>
        <w:t>Pour pouvoir critiquer, il faut d’abord connaître, et il faut se garder de « jeter le bébé avec l’eau du bain ». Mais il faut admettre que les méthodes classiques et traditionnelles du contrôle de gestion ne sont pas la panacée.</w:t>
      </w:r>
    </w:p>
    <w:p w14:paraId="6B9B0A3D" w14:textId="77777777" w:rsidR="005D07A6" w:rsidRDefault="00F42774">
      <w:pPr>
        <w:pStyle w:val="CTEspDessous"/>
      </w:pPr>
      <w:r>
        <w:t>Il ne faut pas confondre « contrôle de gestion » et « </w:t>
      </w:r>
      <w:r>
        <w:rPr>
          <w:b/>
          <w:bCs/>
        </w:rPr>
        <w:t>contrôle organisationnel</w:t>
      </w:r>
      <w:r>
        <w:rPr>
          <w:highlight w:val="green"/>
        </w:rPr>
        <w:fldChar w:fldCharType="begin"/>
      </w:r>
      <w:r>
        <w:rPr>
          <w:highlight w:val="green"/>
        </w:rPr>
        <w:instrText xml:space="preserve"> XE "</w:instrText>
      </w:r>
      <w:r>
        <w:rPr>
          <w:noProof/>
          <w:highlight w:val="green"/>
        </w:rPr>
        <w:instrText>Contrôle</w:instrText>
      </w:r>
      <w:r>
        <w:rPr>
          <w:highlight w:val="green"/>
        </w:rPr>
        <w:instrText>:</w:instrText>
      </w:r>
      <w:r>
        <w:rPr>
          <w:noProof/>
          <w:highlight w:val="green"/>
        </w:rPr>
        <w:instrText>– organisationnel</w:instrText>
      </w:r>
      <w:r>
        <w:rPr>
          <w:highlight w:val="green"/>
        </w:rPr>
        <w:instrText xml:space="preserve">" </w:instrText>
      </w:r>
      <w:r>
        <w:rPr>
          <w:highlight w:val="green"/>
        </w:rPr>
        <w:fldChar w:fldCharType="end"/>
      </w:r>
      <w:r>
        <w:t> » qui est une notion plus large.</w:t>
      </w:r>
    </w:p>
    <w:p w14:paraId="35E4BF8C" w14:textId="77777777" w:rsidR="005D07A6" w:rsidRDefault="00F42774">
      <w:pPr>
        <w:pStyle w:val="CTEspDessous"/>
      </w:pPr>
      <w:r>
        <w:t xml:space="preserve">Il y a plusieurs façons de s’assurer que les comportements individuels vont bien dans le sens des objectifs globaux de l’organisation. Le contrôle de gestion est un outil relativement technique, fonctionnant essentiellement en aval du système d’information comptable de l’entreprise. C’est un outil essentiellement formel (reposant sur des procédures), impersonnel (les écarts calculés ne dépendent pas de la personnalité des individus) et qui agit </w:t>
      </w:r>
      <w:r>
        <w:rPr>
          <w:i/>
          <w:iCs/>
        </w:rPr>
        <w:t>ex post</w:t>
      </w:r>
      <w:r>
        <w:t>, c’est-à-dire de façon rétroactive à partir des résultats effectifs.</w:t>
      </w:r>
    </w:p>
    <w:p w14:paraId="23951B3A" w14:textId="77777777" w:rsidR="005D07A6" w:rsidRDefault="00F42774">
      <w:pPr>
        <w:pStyle w:val="CTEspDessous"/>
      </w:pPr>
      <w:r>
        <w:t xml:space="preserve">Or, le contrôle peut reposer sur des procédures beaucoup plus informelles, en faisant plus appel aux aspects psychosociologiques. Par exemple, un patron charismatique peut obtenir l’adhésion émotionnelle de ses troupes et les amener à collaborer sans qu’il soit véritablement nécessaire de les contrôler par des états de contrôle budgétaire ! Certaines entreprises ressemblent plus à une « famille » ou à un « clan » à l’intérieur duquel joue la confiance réciproque. La « culture d’entreprise » peut être très forte et conditionner le comportement des employés (par exemple, sens de l’intérêt général dans certains services publics, ou attitude presque « militante » dans le secteur coopératif ou mutualiste). On a alors une sorte de </w:t>
      </w:r>
      <w:r>
        <w:rPr>
          <w:b/>
          <w:bCs/>
        </w:rPr>
        <w:t>contrôle social</w:t>
      </w:r>
      <w:r>
        <w:rPr>
          <w:highlight w:val="green"/>
        </w:rPr>
        <w:fldChar w:fldCharType="begin"/>
      </w:r>
      <w:r>
        <w:rPr>
          <w:highlight w:val="green"/>
        </w:rPr>
        <w:instrText xml:space="preserve"> XE "</w:instrText>
      </w:r>
      <w:r>
        <w:rPr>
          <w:noProof/>
          <w:highlight w:val="green"/>
        </w:rPr>
        <w:instrText>Contrôle</w:instrText>
      </w:r>
      <w:r>
        <w:rPr>
          <w:highlight w:val="green"/>
        </w:rPr>
        <w:instrText>:</w:instrText>
      </w:r>
      <w:r>
        <w:rPr>
          <w:noProof/>
          <w:highlight w:val="green"/>
        </w:rPr>
        <w:instrText>– social</w:instrText>
      </w:r>
      <w:r>
        <w:rPr>
          <w:highlight w:val="green"/>
        </w:rPr>
        <w:instrText xml:space="preserve">" </w:instrText>
      </w:r>
      <w:r>
        <w:rPr>
          <w:highlight w:val="green"/>
        </w:rPr>
        <w:fldChar w:fldCharType="end"/>
      </w:r>
      <w:r>
        <w:t xml:space="preserve"> qui fonctionne </w:t>
      </w:r>
      <w:r>
        <w:rPr>
          <w:i/>
          <w:iCs/>
        </w:rPr>
        <w:t>a priori</w:t>
      </w:r>
      <w:r>
        <w:t>. À la limite, vouloir introduire des outils de contrôle de gestion dans certains contextes peut être ressenti comme une insulte, comme une atteinte à la « conscience professionnelle » et avoir des effets pervers, contraires à ceux recherchés. Attention de ne pas jouer les apprentis sorciers !</w:t>
      </w:r>
    </w:p>
    <w:p w14:paraId="2A4250D8" w14:textId="77777777" w:rsidR="005D07A6" w:rsidRDefault="00F42774">
      <w:pPr>
        <w:pStyle w:val="CTEspDessous"/>
      </w:pPr>
      <w:r>
        <w:t xml:space="preserve">Les outils « classiques » du contrôle de gestion, ceux qui se révèlent efficaces dans certaines grandes entreprises industrielles et commerciales privées, ne doivent pas être considérés comme universels. Il faut une approche « contingente » du contrôle. Et même quand un outil est utilisé (le budget, par exemple), il peut avoir une signification très différente. La sociologie des organisations a montré qu’il y avait des situations très variées, et de nombreux auteurs ont proposé des typologies qui peuvent être très utiles pour un travail de diagnostic. Nous évoquerons celle du Canadien Henry </w:t>
      </w:r>
      <w:r>
        <w:rPr>
          <w:b/>
          <w:bCs/>
        </w:rPr>
        <w:t>Mintzberg</w:t>
      </w:r>
      <w:r>
        <w:rPr>
          <w:highlight w:val="green"/>
        </w:rPr>
        <w:fldChar w:fldCharType="begin"/>
      </w:r>
      <w:r>
        <w:rPr>
          <w:highlight w:val="green"/>
        </w:rPr>
        <w:instrText xml:space="preserve"> XE "</w:instrText>
      </w:r>
      <w:r>
        <w:rPr>
          <w:noProof/>
          <w:highlight w:val="green"/>
        </w:rPr>
        <w:instrText>Mintzberg</w:instrText>
      </w:r>
      <w:r>
        <w:rPr>
          <w:highlight w:val="green"/>
        </w:rPr>
        <w:instrText xml:space="preserve">" </w:instrText>
      </w:r>
      <w:r>
        <w:rPr>
          <w:highlight w:val="green"/>
        </w:rPr>
        <w:fldChar w:fldCharType="end"/>
      </w:r>
      <w:r>
        <w:t>, qui est très classique.</w:t>
      </w:r>
    </w:p>
    <w:p w14:paraId="4D2440F7" w14:textId="77777777" w:rsidR="005D07A6" w:rsidRDefault="00F42774">
      <w:pPr>
        <w:pStyle w:val="T4"/>
      </w:pPr>
      <w:r>
        <w:t>III.</w:t>
      </w:r>
      <w:r>
        <w:tab/>
        <w:t>Les différentes « configurations structurelles »</w:t>
      </w:r>
    </w:p>
    <w:p w14:paraId="02DD1D0D" w14:textId="77777777" w:rsidR="005D07A6" w:rsidRDefault="00F42774">
      <w:pPr>
        <w:pStyle w:val="CTEspDessous"/>
      </w:pPr>
      <w:r>
        <w:t xml:space="preserve">L’établissement de ces typologies repose sur l’application du principe de </w:t>
      </w:r>
      <w:r>
        <w:rPr>
          <w:b/>
          <w:bCs/>
        </w:rPr>
        <w:t>contingence</w:t>
      </w:r>
      <w:r>
        <w:rPr>
          <w:highlight w:val="green"/>
        </w:rPr>
        <w:fldChar w:fldCharType="begin"/>
      </w:r>
      <w:r>
        <w:rPr>
          <w:highlight w:val="green"/>
        </w:rPr>
        <w:instrText xml:space="preserve"> XE "</w:instrText>
      </w:r>
      <w:r>
        <w:rPr>
          <w:noProof/>
          <w:highlight w:val="green"/>
        </w:rPr>
        <w:instrText>Contingence</w:instrText>
      </w:r>
      <w:r>
        <w:rPr>
          <w:highlight w:val="green"/>
        </w:rPr>
        <w:instrText xml:space="preserve">" </w:instrText>
      </w:r>
      <w:r>
        <w:rPr>
          <w:highlight w:val="green"/>
        </w:rPr>
        <w:fldChar w:fldCharType="end"/>
      </w:r>
      <w:r>
        <w:t>. Selon la théorie de la contingence structurelle développée en sociologie des organisations, il n’existe pas de modèle de gestion, d’organisation et de management « universel » qui s’appliquerait à toutes les entreprises. Tout dépend des « facteurs de contingence », comme la taille, le degré de stabilité de l’environnement, la stratégie, etc.</w:t>
      </w:r>
    </w:p>
    <w:p w14:paraId="77B01C9D" w14:textId="77777777" w:rsidR="005D07A6" w:rsidRDefault="00F42774">
      <w:pPr>
        <w:pStyle w:val="CTEspDessous"/>
      </w:pPr>
      <w:r>
        <w:t>Il existe une infinité de situations possibles et de cas particuliers. La conception d’un système de gestion, et donc du système de contrôle de gestion qui n’en constitue qu’une partie, qu’un sous-système, devrait donc se faire « sur mesure », de façon très coûteuse (tout comme dans l’habillement, un costume sur mesure va coûter beaucoup plus cher qu’un costume acheté en confection).</w:t>
      </w:r>
    </w:p>
    <w:p w14:paraId="3A46A946" w14:textId="77777777" w:rsidR="005D07A6" w:rsidRDefault="00F42774">
      <w:pPr>
        <w:pStyle w:val="CTEspDessous"/>
      </w:pPr>
      <w:r>
        <w:t xml:space="preserve">Mais il se trouve qu’entre le modèle universel unique et l’infinité des cas particuliers, il est possible de définir certaines « configurations » types, caractérisées par une adéquation </w:t>
      </w:r>
      <w:r>
        <w:lastRenderedPageBreak/>
        <w:t>entre principaux facteurs de contingence et principales caractéristiques organisationnelles, ce qui permet de concevoir un système de contrôle à moindre coût.</w:t>
      </w:r>
    </w:p>
    <w:p w14:paraId="43D8C51C" w14:textId="77777777" w:rsidR="005D07A6" w:rsidRDefault="00F42774">
      <w:pPr>
        <w:pStyle w:val="CTEspDessous"/>
      </w:pPr>
      <w:r>
        <w:t>Mintzberg distingue six grands types de configurations. Dans chaque cas, le contrôle présente des spécificités très marquées.</w:t>
      </w:r>
    </w:p>
    <w:p w14:paraId="6E0EA57A" w14:textId="77777777" w:rsidR="005D07A6" w:rsidRDefault="00F42774">
      <w:pPr>
        <w:pStyle w:val="T5"/>
      </w:pPr>
      <w:r>
        <w:t>A.</w:t>
      </w:r>
      <w:r>
        <w:tab/>
        <w:t>les « structures simples »</w:t>
      </w:r>
    </w:p>
    <w:p w14:paraId="42EF1F26" w14:textId="77777777" w:rsidR="005D07A6" w:rsidRDefault="00F42774">
      <w:pPr>
        <w:pStyle w:val="CTEspDessous"/>
      </w:pPr>
      <w:r>
        <w:t>Dans les petites entreprises, le contrôle reste essentiellement informel et repose sur la « supervision hiérarchique directe » du patron, qui a le vécu de ce qui va et de ce qui ne va pas. Il n’y a pas de système formel de contrôle de gestion, tout comme d’ailleurs il n’y a pas de vrai système comptable : la comptabilité est le plus souvent ressentie comme une pure contrainte fiscale et est externalisée auprès d’un cabinet d’expertise comptable.</w:t>
      </w:r>
    </w:p>
    <w:p w14:paraId="6A8AC8F2" w14:textId="77777777" w:rsidR="005D07A6" w:rsidRDefault="00F42774">
      <w:pPr>
        <w:pStyle w:val="T5"/>
      </w:pPr>
      <w:r>
        <w:t>B.</w:t>
      </w:r>
      <w:r>
        <w:tab/>
        <w:t>les « bureaucraties mécanistes</w:t>
      </w:r>
      <w:r>
        <w:rPr>
          <w:highlight w:val="green"/>
        </w:rPr>
        <w:fldChar w:fldCharType="begin"/>
      </w:r>
      <w:r>
        <w:rPr>
          <w:highlight w:val="green"/>
        </w:rPr>
        <w:instrText xml:space="preserve"> XE "</w:instrText>
      </w:r>
      <w:r>
        <w:rPr>
          <w:noProof/>
          <w:highlight w:val="green"/>
        </w:rPr>
        <w:instrText>Bureaucratie</w:instrText>
      </w:r>
      <w:r>
        <w:rPr>
          <w:highlight w:val="green"/>
        </w:rPr>
        <w:instrText>:</w:instrText>
      </w:r>
      <w:r>
        <w:rPr>
          <w:noProof/>
          <w:highlight w:val="green"/>
        </w:rPr>
        <w:instrText>– mécaniste</w:instrText>
      </w:r>
      <w:r>
        <w:rPr>
          <w:highlight w:val="green"/>
        </w:rPr>
        <w:instrText xml:space="preserve">" </w:instrText>
      </w:r>
      <w:r>
        <w:rPr>
          <w:highlight w:val="green"/>
        </w:rPr>
        <w:fldChar w:fldCharType="end"/>
      </w:r>
      <w:r>
        <w:t> »</w:t>
      </w:r>
    </w:p>
    <w:p w14:paraId="694BEB71" w14:textId="77777777" w:rsidR="005D07A6" w:rsidRDefault="00F42774">
      <w:pPr>
        <w:pStyle w:val="CTEspDessous"/>
      </w:pPr>
      <w:r>
        <w:t>Dans les grandes entreprises qui ont une activité répétitive (les banques, les compagnies d’assurances, les grandes entreprises industrielles dans l’automobile ou la chimie, etc.), il y a une division du travail et une standardisation très poussée, et il faut utiliser la comptabilité de gestion et le contrôle budgétaire pour maîtriser les coûts. Tout repose sur la standardisation des procédés, qui permet de fixer des normes pour chaque opération, et donc de calculer des coûts prévisionnels, des « coûts standards ». C’est dans ce contexte (correspondant, à peu près, à une organisation « taylorienne ») que l’on trouve la version « classique » du contrôle de gestion ou système Sloan-Brown</w:t>
      </w:r>
      <w:r>
        <w:rPr>
          <w:highlight w:val="green"/>
        </w:rPr>
        <w:fldChar w:fldCharType="begin"/>
      </w:r>
      <w:r>
        <w:rPr>
          <w:highlight w:val="green"/>
        </w:rPr>
        <w:instrText xml:space="preserve"> XE "</w:instrText>
      </w:r>
      <w:r>
        <w:rPr>
          <w:noProof/>
          <w:highlight w:val="green"/>
        </w:rPr>
        <w:instrText>Sloan-Brown</w:instrText>
      </w:r>
      <w:r>
        <w:rPr>
          <w:highlight w:val="green"/>
        </w:rPr>
        <w:instrText xml:space="preserve">" </w:instrText>
      </w:r>
      <w:r>
        <w:rPr>
          <w:highlight w:val="green"/>
        </w:rPr>
        <w:fldChar w:fldCharType="end"/>
      </w:r>
      <w:r>
        <w:t>. Quand on ouvre un manuel de contrôle de gestion, 90 % de la matière concerne généralement ce cas de figure. Notons que le terme « bureaucratique » n’a pas ici de connotation péjorative. Si l’environnement est stable et l’activité répétitive, il y a une très grande rationalité et une très grande efficacité dans la formalisation des procédures.</w:t>
      </w:r>
    </w:p>
    <w:p w14:paraId="20942DBD" w14:textId="77777777" w:rsidR="005D07A6" w:rsidRDefault="00F42774">
      <w:pPr>
        <w:pStyle w:val="T5"/>
      </w:pPr>
      <w:r>
        <w:t>C.</w:t>
      </w:r>
      <w:r>
        <w:tab/>
        <w:t>les « bureaucraties professionnelles »</w:t>
      </w:r>
    </w:p>
    <w:p w14:paraId="6FAB5D69" w14:textId="77777777" w:rsidR="005D07A6" w:rsidRDefault="00F42774">
      <w:pPr>
        <w:pStyle w:val="CTEspDessous"/>
      </w:pPr>
      <w:r>
        <w:t>Dans les activités</w:t>
      </w:r>
      <w:r>
        <w:rPr>
          <w:highlight w:val="green"/>
        </w:rPr>
        <w:fldChar w:fldCharType="begin"/>
      </w:r>
      <w:r>
        <w:rPr>
          <w:highlight w:val="green"/>
        </w:rPr>
        <w:instrText xml:space="preserve"> XE "</w:instrText>
      </w:r>
      <w:r>
        <w:rPr>
          <w:noProof/>
          <w:highlight w:val="green"/>
        </w:rPr>
        <w:instrText>Bureaucratie</w:instrText>
      </w:r>
      <w:r>
        <w:rPr>
          <w:highlight w:val="green"/>
        </w:rPr>
        <w:instrText>:</w:instrText>
      </w:r>
      <w:r>
        <w:rPr>
          <w:noProof/>
          <w:highlight w:val="green"/>
        </w:rPr>
        <w:instrText>– professionnelle</w:instrText>
      </w:r>
      <w:r>
        <w:rPr>
          <w:highlight w:val="green"/>
        </w:rPr>
        <w:instrText xml:space="preserve">" </w:instrText>
      </w:r>
      <w:r>
        <w:rPr>
          <w:highlight w:val="green"/>
        </w:rPr>
        <w:fldChar w:fldCharType="end"/>
      </w:r>
      <w:r>
        <w:t xml:space="preserve"> où le travail exige un haut niveau de qualification et est exercé par des professionnels mobilisant à chaque instant des connaissances acquises à l’université, on ne peut pas instaurer un contrôle hiérarchique : on ne peut pas mettre un contremaître sur le dos d’un chirurgien qui opère dans un hôpital ! (de même avec les experts-comptables dans une firme d’audit, avec des professeurs dans un établissement scolaire, etc.). Ici, un mécanisme de contrôle très particulier joue : la déontologie, c’est-à-dire le respect de certaines valeurs, de comportements acquis par imitation de modèles à l’occasion de longues périodes d’études et d’apprentissage. Le jeune interne en médecine reproduit peu à peu le comportement de ses « patrons ». On parle de « standardisation des qualifications ».</w:t>
      </w:r>
    </w:p>
    <w:p w14:paraId="1C2B765D" w14:textId="77777777" w:rsidR="005D07A6" w:rsidRDefault="00F42774">
      <w:pPr>
        <w:pStyle w:val="CTEspDessous"/>
      </w:pPr>
      <w:r>
        <w:t>On ne peut pas plaquer tel quel un système de contrôle de gestion classique sur un hôpital ou une université. Certes, il faut établir et respecter un budget, mais ce budget représente un compromis entre les aspects financiers et les aspects déontologiques.</w:t>
      </w:r>
    </w:p>
    <w:p w14:paraId="4A6892F2" w14:textId="77777777" w:rsidR="005D07A6" w:rsidRDefault="00F42774">
      <w:pPr>
        <w:pStyle w:val="T5"/>
      </w:pPr>
      <w:r>
        <w:t>D.</w:t>
      </w:r>
      <w:r>
        <w:tab/>
        <w:t>les « adhocraties</w:t>
      </w:r>
      <w:r>
        <w:rPr>
          <w:highlight w:val="green"/>
        </w:rPr>
        <w:fldChar w:fldCharType="begin"/>
      </w:r>
      <w:r>
        <w:rPr>
          <w:highlight w:val="green"/>
        </w:rPr>
        <w:instrText xml:space="preserve"> XE "</w:instrText>
      </w:r>
      <w:r>
        <w:rPr>
          <w:noProof/>
          <w:highlight w:val="green"/>
        </w:rPr>
        <w:instrText>Adhocratie</w:instrText>
      </w:r>
      <w:r>
        <w:rPr>
          <w:highlight w:val="green"/>
        </w:rPr>
        <w:instrText xml:space="preserve">" </w:instrText>
      </w:r>
      <w:r>
        <w:rPr>
          <w:highlight w:val="green"/>
        </w:rPr>
        <w:fldChar w:fldCharType="end"/>
      </w:r>
      <w:r>
        <w:t> »</w:t>
      </w:r>
    </w:p>
    <w:p w14:paraId="28DA1A7E" w14:textId="77777777" w:rsidR="005D07A6" w:rsidRDefault="00F42774">
      <w:pPr>
        <w:pStyle w:val="CTEspDessous"/>
      </w:pPr>
      <w:r>
        <w:t xml:space="preserve">Dans les activités qui reposent sur l’invention, la recherche, la création, l’innovation, comme dans l’édition informatique de logiciels, l’édition littéraire, la production cinématographique, l’ingénierie, les agences de publicité, il n’y a pas de normes, car l’activité n’est pas répétitive : on ne fait jamais la même chose. Il n’y a pas de « chef » qui sache </w:t>
      </w:r>
      <w:r>
        <w:rPr>
          <w:i/>
          <w:iCs/>
        </w:rPr>
        <w:t>a priori</w:t>
      </w:r>
      <w:r>
        <w:t xml:space="preserve"> comment faire et puisse donner des ordres : le travail repose sur le travail de groupe, le brainstorming par exemple, avec un contrôle « par ajustement mutuel ». Les projets sont toujours risqués, on ne sait pas combien ça va coûter, et si ça va fonctionner. Le budget et les écarts ont alors une signification bien singulière. En fait, le système de gestion est un système de gestion des risques. Par exemple, dans l’édition, sur 10 livres édités, 9 iront au pilon et 1 seulement va marcher ! Chaque projet est un coup de poker, et il ne faut pas se lancer dans un projet trop gros et donc trop risqué, ou alors en partenariat pour partager les risques. L’activité est constituée par une suite de « projets », dont la gestion est bien spécifique. La recherche pétrolière, par exemple, </w:t>
      </w:r>
      <w:r>
        <w:lastRenderedPageBreak/>
        <w:t>s’apparente à cette problématique : on fore, sans être assuré de trouver un gisement rentable. Notons que la mortalité des jeunes adhocraties est très forte et inéluctable, comme l’ont fort bien montré les faillites de certaines start-up Internet.</w:t>
      </w:r>
    </w:p>
    <w:p w14:paraId="52371FAD" w14:textId="77777777" w:rsidR="005D07A6" w:rsidRDefault="00F42774">
      <w:pPr>
        <w:pStyle w:val="T5"/>
      </w:pPr>
      <w:r>
        <w:t>E.</w:t>
      </w:r>
      <w:r>
        <w:tab/>
        <w:t>les « structures divisionnalisées</w:t>
      </w:r>
      <w:r>
        <w:rPr>
          <w:highlight w:val="green"/>
        </w:rPr>
        <w:fldChar w:fldCharType="begin"/>
      </w:r>
      <w:r>
        <w:rPr>
          <w:highlight w:val="green"/>
        </w:rPr>
        <w:instrText xml:space="preserve"> XE "</w:instrText>
      </w:r>
      <w:r>
        <w:rPr>
          <w:noProof/>
          <w:highlight w:val="green"/>
        </w:rPr>
        <w:instrText>Structure</w:instrText>
      </w:r>
      <w:r>
        <w:rPr>
          <w:highlight w:val="green"/>
        </w:rPr>
        <w:instrText>:</w:instrText>
      </w:r>
      <w:r>
        <w:rPr>
          <w:noProof/>
          <w:highlight w:val="green"/>
        </w:rPr>
        <w:instrText>– divisionnelle</w:instrText>
      </w:r>
      <w:r>
        <w:rPr>
          <w:highlight w:val="green"/>
        </w:rPr>
        <w:instrText xml:space="preserve">" </w:instrText>
      </w:r>
      <w:r>
        <w:rPr>
          <w:highlight w:val="green"/>
        </w:rPr>
        <w:fldChar w:fldCharType="end"/>
      </w:r>
      <w:r>
        <w:t> »</w:t>
      </w:r>
    </w:p>
    <w:p w14:paraId="27C709C3" w14:textId="77777777" w:rsidR="005D07A6" w:rsidRDefault="00F42774">
      <w:pPr>
        <w:pStyle w:val="CTEspDessous"/>
      </w:pPr>
      <w:r>
        <w:t>Dans les grandes entreprises ou les groupes très diversifiés, on pratique la décentralisation et la gestion par les résultats. Le responsable d’une entité (une filiale, par exemple) est sur un « siège éjectable » : en cas de mauvaises performances, la logique est de ne pas faire de sentiment et de le remplacer. On parle de « standardisation des résultats ». Dans ce modèle, c’est en fait non pas la comptabilité de gestion, mais la comptabilité financière qui est utilisée comme moyen de contrôle. Chaque « centre de profit » est considéré comme une mini-entreprise et jugé sur son résultat, en tenant compte d’un système de prix de cession interne, de « prix de transfert ». C’est d’ailleurs pour cela qu’en général on retient une structure de groupe : chaque filiale a sa comptabilité (financière), ce qui normalement doit permettre de faire apparaître clairement les performances, sans les problèmes de répartition ou d’imputation de charges de la comptabilité de gestion.</w:t>
      </w:r>
    </w:p>
    <w:p w14:paraId="19CE567C" w14:textId="77777777" w:rsidR="005D07A6" w:rsidRDefault="00F42774">
      <w:pPr>
        <w:pStyle w:val="CTEspDessous"/>
      </w:pPr>
      <w:r>
        <w:t xml:space="preserve">Notons que, dans le cas d’un groupe, le système de contrôle fonctionne en quelque sorte à deux niveaux. Au niveau de chaque filiale, on aura un système de contrôle adapté aux facteurs de contingence. Par exemple, si c’est une filiale industrielle fabriquant des biens de grande consommation en série, de façon </w:t>
      </w:r>
      <w:r>
        <w:rPr>
          <w:b/>
          <w:bCs/>
        </w:rPr>
        <w:t>taylorienne</w:t>
      </w:r>
      <w:r>
        <w:t>, la configuration sera du type « </w:t>
      </w:r>
      <w:r>
        <w:rPr>
          <w:b/>
          <w:bCs/>
        </w:rPr>
        <w:t>bureaucratie mécaniste</w:t>
      </w:r>
      <w:r>
        <w:t> »</w:t>
      </w:r>
      <w:r>
        <w:rPr>
          <w:highlight w:val="green"/>
        </w:rPr>
        <w:fldChar w:fldCharType="begin"/>
      </w:r>
      <w:r>
        <w:rPr>
          <w:highlight w:val="green"/>
        </w:rPr>
        <w:instrText xml:space="preserve"> XE "</w:instrText>
      </w:r>
      <w:r>
        <w:rPr>
          <w:noProof/>
          <w:highlight w:val="green"/>
        </w:rPr>
        <w:instrText>Bureaucratie</w:instrText>
      </w:r>
      <w:r>
        <w:rPr>
          <w:highlight w:val="green"/>
        </w:rPr>
        <w:instrText>:</w:instrText>
      </w:r>
      <w:r>
        <w:rPr>
          <w:noProof/>
          <w:highlight w:val="green"/>
        </w:rPr>
        <w:instrText>– mécaniste</w:instrText>
      </w:r>
      <w:r>
        <w:rPr>
          <w:highlight w:val="green"/>
        </w:rPr>
        <w:instrText xml:space="preserve">" </w:instrText>
      </w:r>
      <w:r>
        <w:rPr>
          <w:highlight w:val="green"/>
        </w:rPr>
        <w:fldChar w:fldCharType="end"/>
      </w:r>
      <w:r>
        <w:t>, avec un rôle important de la standardisation des procédés et de la comptabilité de gestion. Mais, à un autre niveau, les performances de cette filiale seront surtout jugées sur des critères financiers, et la filiale devra faire rentrer dans un système de reporting périodique.</w:t>
      </w:r>
    </w:p>
    <w:p w14:paraId="1BD881F4" w14:textId="77777777" w:rsidR="005D07A6" w:rsidRDefault="00F42774">
      <w:pPr>
        <w:pStyle w:val="T5"/>
      </w:pPr>
      <w:r>
        <w:t>F.</w:t>
      </w:r>
      <w:r>
        <w:tab/>
        <w:t>les « structures hybrides »</w:t>
      </w:r>
      <w:r>
        <w:rPr>
          <w:highlight w:val="green"/>
        </w:rPr>
        <w:fldChar w:fldCharType="begin"/>
      </w:r>
      <w:r>
        <w:rPr>
          <w:highlight w:val="green"/>
        </w:rPr>
        <w:instrText xml:space="preserve"> XE "</w:instrText>
      </w:r>
      <w:r>
        <w:rPr>
          <w:noProof/>
          <w:highlight w:val="green"/>
        </w:rPr>
        <w:instrText>Structure</w:instrText>
      </w:r>
      <w:r>
        <w:rPr>
          <w:highlight w:val="green"/>
        </w:rPr>
        <w:instrText>:</w:instrText>
      </w:r>
      <w:r>
        <w:rPr>
          <w:noProof/>
          <w:highlight w:val="green"/>
        </w:rPr>
        <w:instrText>– hybride</w:instrText>
      </w:r>
      <w:r>
        <w:rPr>
          <w:highlight w:val="green"/>
        </w:rPr>
        <w:instrText xml:space="preserve">" </w:instrText>
      </w:r>
      <w:r>
        <w:rPr>
          <w:highlight w:val="green"/>
        </w:rPr>
        <w:fldChar w:fldCharType="end"/>
      </w:r>
    </w:p>
    <w:p w14:paraId="5BFE3C3D" w14:textId="77777777" w:rsidR="005D07A6" w:rsidRDefault="00F42774">
      <w:pPr>
        <w:pStyle w:val="CTEspDessous"/>
      </w:pPr>
      <w:r>
        <w:t>En fait, très souvent l’activité d’une entreprise est complexe et relève de plusieurs types.</w:t>
      </w:r>
    </w:p>
    <w:p w14:paraId="4359DEC1" w14:textId="77777777" w:rsidR="005D07A6" w:rsidRDefault="00F42774">
      <w:pPr>
        <w:pStyle w:val="CTEspDessous"/>
      </w:pPr>
      <w:r>
        <w:t>Par exemple, dans une entreprise industrielle, le renouvellement des produits repose sur l’innovation et la recherche-développement : certaines activités (les laboratoires de recherche) relèvent de l’</w:t>
      </w:r>
      <w:r>
        <w:rPr>
          <w:b/>
          <w:bCs/>
        </w:rPr>
        <w:t>adhocratie</w:t>
      </w:r>
      <w:r>
        <w:rPr>
          <w:highlight w:val="green"/>
        </w:rPr>
        <w:fldChar w:fldCharType="begin"/>
      </w:r>
      <w:r>
        <w:rPr>
          <w:highlight w:val="green"/>
        </w:rPr>
        <w:instrText xml:space="preserve"> XE "</w:instrText>
      </w:r>
      <w:r>
        <w:rPr>
          <w:noProof/>
          <w:highlight w:val="green"/>
        </w:rPr>
        <w:instrText>Adhocratie</w:instrText>
      </w:r>
      <w:r>
        <w:rPr>
          <w:highlight w:val="green"/>
        </w:rPr>
        <w:instrText xml:space="preserve">" </w:instrText>
      </w:r>
      <w:r>
        <w:rPr>
          <w:highlight w:val="green"/>
        </w:rPr>
        <w:fldChar w:fldCharType="end"/>
      </w:r>
      <w:r>
        <w:t>, alors que la production des produits en maturité (les « vaches à lait ») relève de la bureaucratie mécaniste. Le système de contrôle sera lui aussi hybride, avec une juxtaposition de logiques, de problématiques, d’outils différents.</w:t>
      </w:r>
    </w:p>
    <w:p w14:paraId="69C36FD9" w14:textId="77777777" w:rsidR="005D07A6" w:rsidRDefault="00F42774">
      <w:pPr>
        <w:pStyle w:val="T4"/>
      </w:pPr>
      <w:r>
        <w:t>IV.</w:t>
      </w:r>
      <w:r>
        <w:tab/>
        <w:t>L’influence du contexte</w:t>
      </w:r>
    </w:p>
    <w:p w14:paraId="09A6BA97" w14:textId="77777777" w:rsidR="005D07A6" w:rsidRDefault="00F42774">
      <w:pPr>
        <w:pStyle w:val="T5"/>
      </w:pPr>
      <w:r>
        <w:t>A.</w:t>
      </w:r>
      <w:r>
        <w:tab/>
        <w:t>le contrôle et le développement de l’entreprise</w:t>
      </w:r>
    </w:p>
    <w:p w14:paraId="5C50F5C4" w14:textId="77777777" w:rsidR="005D07A6" w:rsidRDefault="00F42774">
      <w:pPr>
        <w:pStyle w:val="CTEspDessous"/>
      </w:pPr>
      <w:r>
        <w:t xml:space="preserve">La </w:t>
      </w:r>
      <w:r>
        <w:rPr>
          <w:b/>
          <w:bCs/>
        </w:rPr>
        <w:t>taille de l’organisation</w:t>
      </w:r>
      <w:r>
        <w:rPr>
          <w:highlight w:val="green"/>
        </w:rPr>
        <w:fldChar w:fldCharType="begin"/>
      </w:r>
      <w:r>
        <w:rPr>
          <w:highlight w:val="green"/>
        </w:rPr>
        <w:instrText xml:space="preserve"> XE "</w:instrText>
      </w:r>
      <w:r>
        <w:rPr>
          <w:noProof/>
          <w:highlight w:val="green"/>
        </w:rPr>
        <w:instrText>Taille de l’organisation</w:instrText>
      </w:r>
      <w:r>
        <w:rPr>
          <w:highlight w:val="green"/>
        </w:rPr>
        <w:instrText xml:space="preserve">" </w:instrText>
      </w:r>
      <w:r>
        <w:rPr>
          <w:highlight w:val="green"/>
        </w:rPr>
        <w:fldChar w:fldCharType="end"/>
      </w:r>
      <w:r>
        <w:t xml:space="preserve"> est un facteur déterminant et on assiste généralement à une transformation des procédures de contrôle en fonction du développement. Certains auteurs ont proposé de définir des phases de développement caractérisées par un certain type d’organisation et de procédures de coordination et de contrôle.</w:t>
      </w:r>
    </w:p>
    <w:p w14:paraId="28F141E9" w14:textId="77777777" w:rsidR="005D07A6" w:rsidRDefault="00F42774">
      <w:pPr>
        <w:pStyle w:val="CTEspDessous"/>
      </w:pPr>
      <w:r>
        <w:t>Au départ, la petite entreprise a un système de gestion très embryonnaire. La comptabilité est tenue pour des raisons fiscales et n’est pas véritablement utile au chef d’entreprise qui a le vécu de ce qui se passe. Cette phase correspond souvent à la « structure simple » de Mintzberg</w:t>
      </w:r>
      <w:r>
        <w:rPr>
          <w:highlight w:val="green"/>
        </w:rPr>
        <w:fldChar w:fldCharType="begin"/>
      </w:r>
      <w:r>
        <w:rPr>
          <w:highlight w:val="green"/>
        </w:rPr>
        <w:instrText xml:space="preserve"> XE "</w:instrText>
      </w:r>
      <w:r>
        <w:rPr>
          <w:noProof/>
          <w:highlight w:val="green"/>
        </w:rPr>
        <w:instrText>Mintzberg</w:instrText>
      </w:r>
      <w:r>
        <w:rPr>
          <w:highlight w:val="green"/>
        </w:rPr>
        <w:instrText xml:space="preserve">" </w:instrText>
      </w:r>
      <w:r>
        <w:rPr>
          <w:highlight w:val="green"/>
        </w:rPr>
        <w:fldChar w:fldCharType="end"/>
      </w:r>
      <w:r>
        <w:t>.</w:t>
      </w:r>
    </w:p>
    <w:p w14:paraId="4A7A5C17" w14:textId="77777777" w:rsidR="005D07A6" w:rsidRDefault="00F42774">
      <w:pPr>
        <w:pStyle w:val="CTEspDessous"/>
      </w:pPr>
      <w:r>
        <w:t>La PME de quelques dizaines ou quelques centaines de salariés est obligée de se structurer et de formaliser ses procédures. Généralement, on adopte une structure fonctionnelle, avec par exemple une direction technique, une direction commerciale et une direction administrative et financière. C’est au sein de cette direction que l’on met en place une comptabilité de gestion, puis des outils de contrôle tels que les budgets, le contrôle budgétaire, le tableau de bord. Ce système est efficace tant que le dirigeant est capable de résoudre les problèmes et les conflits qui « remontent » jusqu’à lui.</w:t>
      </w:r>
    </w:p>
    <w:p w14:paraId="532BAD08" w14:textId="77777777" w:rsidR="005D07A6" w:rsidRDefault="00F42774">
      <w:pPr>
        <w:pStyle w:val="CTEspDessous"/>
      </w:pPr>
      <w:r>
        <w:lastRenderedPageBreak/>
        <w:t xml:space="preserve">Le passage au stade de la grande entreprise suppose généralement la restructuration de l’organisation en centres de profit : on tend vers </w:t>
      </w:r>
      <w:r>
        <w:rPr>
          <w:b/>
          <w:bCs/>
        </w:rPr>
        <w:t>la structure divisionnalisée</w:t>
      </w:r>
      <w:r>
        <w:t>.</w:t>
      </w:r>
    </w:p>
    <w:p w14:paraId="4D99DB1B" w14:textId="77777777" w:rsidR="005D07A6" w:rsidRDefault="00F42774">
      <w:pPr>
        <w:pStyle w:val="CTEspDessous"/>
      </w:pPr>
      <w:r>
        <w:t>Les très grandes entreprises mettent en place des structures matricielles dans lesquelles la coordination des différents comités chargés du contrôle devient très complexe, avec un risque de bureaucratisation au détriment du dynamisme et des performances.</w:t>
      </w:r>
    </w:p>
    <w:p w14:paraId="2277746D" w14:textId="77777777" w:rsidR="005D07A6" w:rsidRDefault="00F42774">
      <w:pPr>
        <w:pStyle w:val="CTEspDessous"/>
      </w:pPr>
      <w:r>
        <w:t>Les difficultés de mettre en place un pilotage efficace s’expliquent souvent par le déphasage entre le stade de développement et le système d’information comptable et de contrôle de gestion qui peut être « en retard » par rapport aux besoins.</w:t>
      </w:r>
    </w:p>
    <w:p w14:paraId="5BBA365D" w14:textId="77777777" w:rsidR="005D07A6" w:rsidRDefault="00F42774">
      <w:pPr>
        <w:pStyle w:val="T5"/>
      </w:pPr>
      <w:r>
        <w:t>B.</w:t>
      </w:r>
      <w:r>
        <w:tab/>
        <w:t>le contrôle dans le secteur privé et dans le secteur public</w:t>
      </w:r>
    </w:p>
    <w:p w14:paraId="11C4738A" w14:textId="77777777" w:rsidR="005D07A6" w:rsidRDefault="00F42774">
      <w:pPr>
        <w:pStyle w:val="CTEspDessous"/>
      </w:pPr>
      <w:r>
        <w:t>La relation fondamentale « Résultat = Produits – Charges » est tautologique : elle est vraie quel que soit le contexte. Mais, dans le privé, l’objectif est souvent de maximiser le résultat, donc de prendre les décisions optimales permettant de maximiser les produits ou de minimiser les charges. Le contrôle de gestion est censé « mettre sous tension » l’organisation pour atteindre cet objectif. Le plus souvent, les actionnaires vont exiger un taux minimal de rentabilité (surtout s’il s’agit d’institutionnels comme des fonds de pension dont la mission est de faire fructifier l’épargne de leurs clients).</w:t>
      </w:r>
    </w:p>
    <w:p w14:paraId="3891423C" w14:textId="77777777" w:rsidR="005D07A6" w:rsidRDefault="00F42774">
      <w:pPr>
        <w:pStyle w:val="CTEspDessous"/>
      </w:pPr>
      <w:r>
        <w:t xml:space="preserve">Dans le </w:t>
      </w:r>
      <w:r>
        <w:rPr>
          <w:b/>
          <w:bCs/>
        </w:rPr>
        <w:t>secteur public</w:t>
      </w:r>
      <w:r>
        <w:rPr>
          <w:highlight w:val="green"/>
        </w:rPr>
        <w:fldChar w:fldCharType="begin"/>
      </w:r>
      <w:r>
        <w:rPr>
          <w:highlight w:val="green"/>
        </w:rPr>
        <w:instrText xml:space="preserve"> XE "</w:instrText>
      </w:r>
      <w:r>
        <w:rPr>
          <w:noProof/>
          <w:highlight w:val="green"/>
        </w:rPr>
        <w:instrText>Secteur public</w:instrText>
      </w:r>
      <w:r>
        <w:rPr>
          <w:highlight w:val="green"/>
        </w:rPr>
        <w:instrText xml:space="preserve">" </w:instrText>
      </w:r>
      <w:r>
        <w:rPr>
          <w:highlight w:val="green"/>
        </w:rPr>
        <w:fldChar w:fldCharType="end"/>
      </w:r>
      <w:r>
        <w:t>, en revanche, on poursuit des objectifs d’intérêt général qui font que l’on ne peut pas mesurer les performances uniquement en termes de maximisation du résultat. Par exemple, une société nationale de production d’électricité peut avoir comme mission de fournir au pays l’énergie dont il a besoin pour son développement au moindre coût. Mais, dans ce cas, on demandera à la société nationale au moins d’équilibrer ses comptes et de ne pas générer des déficits obligeant la collectivité à la subventionner au-delà du raisonnable. Un résultat minimal ou nul sera alors considéré comme une contrainte à respecter, ce qui implique évidemment de lutter contre les gaspillages, tout comme dans le privé, et de mettre en place des procédures de contrôle budgétaire identiques pour éviter les dérapages : les outils sont, en gros, les mêmes. Mais ceci pose des problèmes délicats, sur le plan théorique comme sur le plan pratique, notamment au niveau de l’évaluation des performances et des politiques de tarification.</w:t>
      </w:r>
    </w:p>
    <w:p w14:paraId="37A6CE1D" w14:textId="77777777" w:rsidR="005D07A6" w:rsidRDefault="00F42774">
      <w:pPr>
        <w:pStyle w:val="T3"/>
      </w:pPr>
      <w:r>
        <w:t>section 7.</w:t>
      </w:r>
      <w:r>
        <w:tab/>
        <w:t>Le contrôle de gestion et la théorie des organisations</w:t>
      </w:r>
    </w:p>
    <w:p w14:paraId="153E11F8" w14:textId="77777777" w:rsidR="005D07A6" w:rsidRDefault="00F42774">
      <w:pPr>
        <w:pStyle w:val="CTEspDessous"/>
      </w:pPr>
      <w:r>
        <w:t>Au vu des problèmes auxquels se trouvent confrontées les entreprises, des gestionnaires, des ingénieurs, des chefs d’entreprise, des chercheurs ont réfléchi aux processus de fonctionnement des organisations pour améliorer la gestion.</w:t>
      </w:r>
    </w:p>
    <w:p w14:paraId="09440BFF" w14:textId="77777777" w:rsidR="005D07A6" w:rsidRDefault="00F42774">
      <w:pPr>
        <w:pStyle w:val="T4"/>
      </w:pPr>
      <w:r>
        <w:t>I.</w:t>
      </w:r>
      <w:r>
        <w:tab/>
        <w:t>L’école classique</w:t>
      </w:r>
      <w:r>
        <w:rPr>
          <w:highlight w:val="green"/>
        </w:rPr>
        <w:fldChar w:fldCharType="begin"/>
      </w:r>
      <w:r>
        <w:rPr>
          <w:highlight w:val="green"/>
        </w:rPr>
        <w:instrText xml:space="preserve"> XE "</w:instrText>
      </w:r>
      <w:r>
        <w:rPr>
          <w:noProof/>
          <w:highlight w:val="green"/>
        </w:rPr>
        <w:instrText>École classique</w:instrText>
      </w:r>
      <w:r>
        <w:rPr>
          <w:highlight w:val="green"/>
        </w:rPr>
        <w:instrText xml:space="preserve">" </w:instrText>
      </w:r>
      <w:r>
        <w:rPr>
          <w:highlight w:val="green"/>
        </w:rPr>
        <w:fldChar w:fldCharType="end"/>
      </w:r>
      <w:r>
        <w:t> : approche rationnelle de l’entreprise lieu de production</w:t>
      </w:r>
    </w:p>
    <w:p w14:paraId="128CF242" w14:textId="77777777" w:rsidR="005D07A6" w:rsidRDefault="00F42774">
      <w:pPr>
        <w:pStyle w:val="CTEspDessous"/>
      </w:pPr>
      <w:r>
        <w:t>Dans le contexte des années 1910-1940, au début de la société industrielle, la productivité constitue l’objectif prioritaire.</w:t>
      </w:r>
    </w:p>
    <w:p w14:paraId="44367F6E" w14:textId="77777777" w:rsidR="005D07A6" w:rsidRDefault="00F42774">
      <w:pPr>
        <w:pStyle w:val="CT"/>
      </w:pPr>
      <w:r>
        <w:t>L’ingénieur Frederick W. </w:t>
      </w:r>
      <w:r>
        <w:rPr>
          <w:b/>
          <w:bCs/>
        </w:rPr>
        <w:t>Taylor</w:t>
      </w:r>
      <w:r>
        <w:rPr>
          <w:highlight w:val="green"/>
        </w:rPr>
        <w:fldChar w:fldCharType="begin"/>
      </w:r>
      <w:r>
        <w:rPr>
          <w:highlight w:val="green"/>
        </w:rPr>
        <w:instrText xml:space="preserve"> XE "</w:instrText>
      </w:r>
      <w:r>
        <w:rPr>
          <w:noProof/>
          <w:highlight w:val="green"/>
        </w:rPr>
        <w:instrText>Taylor</w:instrText>
      </w:r>
      <w:r>
        <w:rPr>
          <w:highlight w:val="green"/>
        </w:rPr>
        <w:instrText xml:space="preserve">" </w:instrText>
      </w:r>
      <w:r>
        <w:rPr>
          <w:highlight w:val="green"/>
        </w:rPr>
        <w:fldChar w:fldCharType="end"/>
      </w:r>
      <w:r>
        <w:t xml:space="preserve"> (1856-1915) développe en ce sens l’organisation scientifique du travail dont les deux principes fondamentaux sont la séparation des fonctions (conception = ingénieur ; exécution = ouvrier ; contrôle = contremaître) et la parcellisation des tâches par une étude scientifique du travail.</w:t>
      </w:r>
    </w:p>
    <w:p w14:paraId="79C3744D" w14:textId="77777777" w:rsidR="005D07A6" w:rsidRDefault="00F42774">
      <w:pPr>
        <w:pStyle w:val="CT"/>
      </w:pPr>
      <w:r>
        <w:t>Toutes les démarches cherchent une plus grande rationalité dans la production, dans la structure, dans la direction.</w:t>
      </w:r>
    </w:p>
    <w:p w14:paraId="5A51A9E7" w14:textId="77777777" w:rsidR="005D07A6" w:rsidRDefault="00F42774">
      <w:pPr>
        <w:pStyle w:val="CT"/>
      </w:pPr>
      <w:r>
        <w:t>Les concepts sur lesquels repose l’analyse sont :</w:t>
      </w:r>
    </w:p>
    <w:p w14:paraId="09EFED8B" w14:textId="77777777" w:rsidR="005D07A6" w:rsidRDefault="00F42774">
      <w:pPr>
        <w:pStyle w:val="ET"/>
      </w:pPr>
      <w:r>
        <w:lastRenderedPageBreak/>
        <w:t xml:space="preserve">les </w:t>
      </w:r>
      <w:r>
        <w:rPr>
          <w:b/>
          <w:bCs/>
        </w:rPr>
        <w:t>économies d’échelle</w:t>
      </w:r>
      <w:r>
        <w:rPr>
          <w:highlight w:val="green"/>
        </w:rPr>
        <w:fldChar w:fldCharType="begin"/>
      </w:r>
      <w:r>
        <w:rPr>
          <w:highlight w:val="green"/>
        </w:rPr>
        <w:instrText xml:space="preserve"> XE "</w:instrText>
      </w:r>
      <w:r>
        <w:rPr>
          <w:noProof/>
          <w:highlight w:val="green"/>
        </w:rPr>
        <w:instrText>Économie</w:instrText>
      </w:r>
      <w:r>
        <w:rPr>
          <w:highlight w:val="green"/>
        </w:rPr>
        <w:instrText>:</w:instrText>
      </w:r>
      <w:r>
        <w:rPr>
          <w:noProof/>
          <w:highlight w:val="green"/>
        </w:rPr>
        <w:instrText>– d’échelle</w:instrText>
      </w:r>
      <w:r>
        <w:rPr>
          <w:highlight w:val="green"/>
        </w:rPr>
        <w:instrText xml:space="preserve">" </w:instrText>
      </w:r>
      <w:r>
        <w:rPr>
          <w:highlight w:val="green"/>
        </w:rPr>
        <w:fldChar w:fldCharType="end"/>
      </w:r>
      <w:r>
        <w:t> : produire en grande série pour augmenter la productivité et réduire les coûts unitaires par une meilleure imputation des charges fixes ;</w:t>
      </w:r>
    </w:p>
    <w:p w14:paraId="5478B32E" w14:textId="77777777" w:rsidR="005D07A6" w:rsidRDefault="00F42774">
      <w:pPr>
        <w:pStyle w:val="ET"/>
      </w:pPr>
      <w:r>
        <w:t xml:space="preserve">la </w:t>
      </w:r>
      <w:r>
        <w:rPr>
          <w:b/>
          <w:bCs/>
        </w:rPr>
        <w:t>standardisation des produits</w:t>
      </w:r>
      <w:r>
        <w:t> ;</w:t>
      </w:r>
    </w:p>
    <w:p w14:paraId="357EC2B4" w14:textId="77777777" w:rsidR="005D07A6" w:rsidRDefault="00F42774">
      <w:pPr>
        <w:pStyle w:val="ET"/>
      </w:pPr>
      <w:r>
        <w:t xml:space="preserve">la </w:t>
      </w:r>
      <w:r>
        <w:rPr>
          <w:b/>
          <w:bCs/>
        </w:rPr>
        <w:t>division du travail et la parcellisation des tâches</w:t>
      </w:r>
      <w:r>
        <w:t> ;</w:t>
      </w:r>
    </w:p>
    <w:p w14:paraId="5B0048CF" w14:textId="77777777" w:rsidR="005D07A6" w:rsidRDefault="00F42774">
      <w:pPr>
        <w:pStyle w:val="ET"/>
      </w:pPr>
      <w:r>
        <w:t xml:space="preserve">la </w:t>
      </w:r>
      <w:r>
        <w:rPr>
          <w:b/>
          <w:bCs/>
        </w:rPr>
        <w:t>séparation des fonctions de conception</w:t>
      </w:r>
      <w:r>
        <w:t>, d’exécution et de contrôle ;</w:t>
      </w:r>
    </w:p>
    <w:p w14:paraId="34F609BD" w14:textId="77777777" w:rsidR="005D07A6" w:rsidRDefault="00F42774">
      <w:pPr>
        <w:pStyle w:val="ET"/>
      </w:pPr>
      <w:r>
        <w:t xml:space="preserve">la </w:t>
      </w:r>
      <w:r>
        <w:rPr>
          <w:b/>
          <w:bCs/>
        </w:rPr>
        <w:t>motivation par un système de rémunération</w:t>
      </w:r>
      <w:r>
        <w:t xml:space="preserve"> en fonction du rendement.</w:t>
      </w:r>
    </w:p>
    <w:p w14:paraId="5DE057A6" w14:textId="77777777" w:rsidR="005D07A6" w:rsidRDefault="00F42774">
      <w:pPr>
        <w:pStyle w:val="CTEspDessous"/>
      </w:pPr>
      <w:r>
        <w:t xml:space="preserve">Le contrôle de gestion est perçu comme un contrôle </w:t>
      </w:r>
      <w:r>
        <w:rPr>
          <w:i/>
          <w:iCs/>
        </w:rPr>
        <w:t>a posteriori</w:t>
      </w:r>
      <w:r>
        <w:t> : une mesure quantitative d’écarts associée à un système de sanctions et récompenses.</w:t>
      </w:r>
    </w:p>
    <w:p w14:paraId="028F59CB" w14:textId="77777777" w:rsidR="005D07A6" w:rsidRDefault="00F42774">
      <w:pPr>
        <w:pStyle w:val="T4"/>
      </w:pPr>
      <w:r>
        <w:t>II.</w:t>
      </w:r>
      <w:r>
        <w:tab/>
        <w:t>L’entreprise groupe social</w:t>
      </w:r>
    </w:p>
    <w:p w14:paraId="50747618" w14:textId="77777777" w:rsidR="005D07A6" w:rsidRDefault="00F42774">
      <w:pPr>
        <w:pStyle w:val="T5"/>
      </w:pPr>
      <w:r>
        <w:t>A.</w:t>
      </w:r>
      <w:r>
        <w:tab/>
        <w:t>l’École des relations humaines</w:t>
      </w:r>
    </w:p>
    <w:p w14:paraId="1EE35D27" w14:textId="77777777" w:rsidR="005D07A6" w:rsidRDefault="00F42774">
      <w:pPr>
        <w:pStyle w:val="CT"/>
      </w:pPr>
      <w:r>
        <w:t>Les réactions aux modèles rationnels apparurent dès les années 1920-1930.</w:t>
      </w:r>
    </w:p>
    <w:p w14:paraId="137950E6" w14:textId="77777777" w:rsidR="005D07A6" w:rsidRDefault="00F42774">
      <w:pPr>
        <w:pStyle w:val="CT"/>
      </w:pPr>
      <w:r>
        <w:t>Face aux dysfonctionnements induits par l’organisation taylorienne (manque de qualité, absentéisme, etc.), différentes études mettent en évidence les facteurs de motivation :</w:t>
      </w:r>
    </w:p>
    <w:p w14:paraId="30215615" w14:textId="77777777" w:rsidR="005D07A6" w:rsidRDefault="00F42774">
      <w:pPr>
        <w:pStyle w:val="ET"/>
      </w:pPr>
      <w:r>
        <w:t xml:space="preserve">Elton </w:t>
      </w:r>
      <w:r>
        <w:rPr>
          <w:b/>
          <w:bCs/>
        </w:rPr>
        <w:t>Mayo</w:t>
      </w:r>
      <w:r>
        <w:rPr>
          <w:highlight w:val="green"/>
        </w:rPr>
        <w:fldChar w:fldCharType="begin"/>
      </w:r>
      <w:r>
        <w:rPr>
          <w:highlight w:val="green"/>
        </w:rPr>
        <w:instrText xml:space="preserve"> XE "</w:instrText>
      </w:r>
      <w:r>
        <w:rPr>
          <w:noProof/>
          <w:highlight w:val="green"/>
        </w:rPr>
        <w:instrText>Mayo</w:instrText>
      </w:r>
      <w:r>
        <w:rPr>
          <w:highlight w:val="green"/>
        </w:rPr>
        <w:instrText xml:space="preserve">" </w:instrText>
      </w:r>
      <w:r>
        <w:rPr>
          <w:highlight w:val="green"/>
        </w:rPr>
        <w:fldChar w:fldCharType="end"/>
      </w:r>
      <w:r>
        <w:t xml:space="preserve"> (1933) met en évidence que les salaires et les conditions de travail ne suffisent pas à motiver les acteurs de l’entreprise. La productivité augmente avec l’attention qui leur est portée et les motivations sont plus fortes avec un degré de responsabilité plus élevé ;</w:t>
      </w:r>
    </w:p>
    <w:p w14:paraId="09F024E5" w14:textId="77777777" w:rsidR="005D07A6" w:rsidRDefault="00F42774">
      <w:pPr>
        <w:pStyle w:val="ET"/>
      </w:pPr>
      <w:r>
        <w:t xml:space="preserve">Abraham </w:t>
      </w:r>
      <w:r>
        <w:rPr>
          <w:b/>
          <w:bCs/>
        </w:rPr>
        <w:t>Maslow</w:t>
      </w:r>
      <w:r>
        <w:rPr>
          <w:highlight w:val="green"/>
        </w:rPr>
        <w:fldChar w:fldCharType="begin"/>
      </w:r>
      <w:r>
        <w:rPr>
          <w:highlight w:val="green"/>
        </w:rPr>
        <w:instrText xml:space="preserve"> XE "</w:instrText>
      </w:r>
      <w:r>
        <w:rPr>
          <w:noProof/>
          <w:highlight w:val="green"/>
        </w:rPr>
        <w:instrText>Maslow</w:instrText>
      </w:r>
      <w:r>
        <w:rPr>
          <w:highlight w:val="green"/>
        </w:rPr>
        <w:instrText xml:space="preserve">" </w:instrText>
      </w:r>
      <w:r>
        <w:rPr>
          <w:highlight w:val="green"/>
        </w:rPr>
        <w:fldChar w:fldCharType="end"/>
      </w:r>
      <w:r>
        <w:t xml:space="preserve"> (1954) établit une hiérarchie des besoins que l’homme cherche à satisfaire et démontre que seuls les besoins non satisfaits sont facteurs de motivation ;</w:t>
      </w:r>
    </w:p>
    <w:p w14:paraId="5CC420AF" w14:textId="77777777" w:rsidR="005D07A6" w:rsidRDefault="00F42774">
      <w:pPr>
        <w:pStyle w:val="ET"/>
      </w:pPr>
      <w:r>
        <w:t xml:space="preserve">Douglas </w:t>
      </w:r>
      <w:r>
        <w:rPr>
          <w:b/>
          <w:bCs/>
        </w:rPr>
        <w:t>McGregor</w:t>
      </w:r>
      <w:r>
        <w:rPr>
          <w:highlight w:val="green"/>
        </w:rPr>
        <w:fldChar w:fldCharType="begin"/>
      </w:r>
      <w:r>
        <w:rPr>
          <w:highlight w:val="green"/>
        </w:rPr>
        <w:instrText xml:space="preserve"> XE "</w:instrText>
      </w:r>
      <w:r>
        <w:rPr>
          <w:noProof/>
          <w:highlight w:val="green"/>
        </w:rPr>
        <w:instrText>McGregor</w:instrText>
      </w:r>
      <w:r>
        <w:rPr>
          <w:highlight w:val="green"/>
        </w:rPr>
        <w:instrText xml:space="preserve">" </w:instrText>
      </w:r>
      <w:r>
        <w:rPr>
          <w:highlight w:val="green"/>
        </w:rPr>
        <w:fldChar w:fldCharType="end"/>
      </w:r>
      <w:r>
        <w:t xml:space="preserve"> (1960) présente la théorie Y selon laquelle l’individu peut être motivé par son travail et capable d’initiatives ;</w:t>
      </w:r>
    </w:p>
    <w:p w14:paraId="6B26BBF4" w14:textId="77777777" w:rsidR="005D07A6" w:rsidRDefault="00F42774">
      <w:pPr>
        <w:pStyle w:val="ET"/>
      </w:pPr>
      <w:r>
        <w:t xml:space="preserve">Frederick </w:t>
      </w:r>
      <w:r>
        <w:rPr>
          <w:b/>
          <w:bCs/>
        </w:rPr>
        <w:t>Herzberg</w:t>
      </w:r>
      <w:r>
        <w:rPr>
          <w:highlight w:val="green"/>
        </w:rPr>
        <w:fldChar w:fldCharType="begin"/>
      </w:r>
      <w:r>
        <w:rPr>
          <w:highlight w:val="green"/>
        </w:rPr>
        <w:instrText xml:space="preserve"> XE "</w:instrText>
      </w:r>
      <w:r>
        <w:rPr>
          <w:noProof/>
          <w:highlight w:val="green"/>
        </w:rPr>
        <w:instrText>Herzberg</w:instrText>
      </w:r>
      <w:r>
        <w:rPr>
          <w:highlight w:val="green"/>
        </w:rPr>
        <w:instrText xml:space="preserve">" </w:instrText>
      </w:r>
      <w:r>
        <w:rPr>
          <w:highlight w:val="green"/>
        </w:rPr>
        <w:fldChar w:fldCharType="end"/>
      </w:r>
      <w:r>
        <w:t xml:space="preserve"> (1966) démontre l’importance d’enrichir et d’élargir les tâches et les responsabilités des acteurs de l’organisation.</w:t>
      </w:r>
    </w:p>
    <w:p w14:paraId="48056C70" w14:textId="77777777" w:rsidR="005D07A6" w:rsidRDefault="00F42774">
      <w:pPr>
        <w:pStyle w:val="T5"/>
      </w:pPr>
      <w:r>
        <w:t>B.</w:t>
      </w:r>
      <w:r>
        <w:tab/>
        <w:t>le courant sociotechnique</w:t>
      </w:r>
    </w:p>
    <w:p w14:paraId="131DD4A4" w14:textId="77777777" w:rsidR="005D07A6" w:rsidRDefault="00F42774">
      <w:pPr>
        <w:pStyle w:val="CTEspDessous"/>
      </w:pPr>
      <w:r>
        <w:t xml:space="preserve">Frederick </w:t>
      </w:r>
      <w:r>
        <w:rPr>
          <w:b/>
          <w:bCs/>
        </w:rPr>
        <w:t>Emery</w:t>
      </w:r>
      <w:r>
        <w:rPr>
          <w:highlight w:val="green"/>
        </w:rPr>
        <w:fldChar w:fldCharType="begin"/>
      </w:r>
      <w:r>
        <w:rPr>
          <w:highlight w:val="green"/>
        </w:rPr>
        <w:instrText xml:space="preserve"> XE "</w:instrText>
      </w:r>
      <w:r>
        <w:rPr>
          <w:noProof/>
          <w:highlight w:val="green"/>
        </w:rPr>
        <w:instrText>Emery</w:instrText>
      </w:r>
      <w:r>
        <w:rPr>
          <w:highlight w:val="green"/>
        </w:rPr>
        <w:instrText xml:space="preserve">" </w:instrText>
      </w:r>
      <w:r>
        <w:rPr>
          <w:highlight w:val="green"/>
        </w:rPr>
        <w:fldChar w:fldCharType="end"/>
      </w:r>
      <w:r>
        <w:t xml:space="preserve"> et Eric </w:t>
      </w:r>
      <w:r>
        <w:rPr>
          <w:b/>
          <w:bCs/>
        </w:rPr>
        <w:t>Trist</w:t>
      </w:r>
      <w:r>
        <w:rPr>
          <w:highlight w:val="green"/>
        </w:rPr>
        <w:fldChar w:fldCharType="begin"/>
      </w:r>
      <w:r>
        <w:rPr>
          <w:highlight w:val="green"/>
        </w:rPr>
        <w:instrText xml:space="preserve"> XE "</w:instrText>
      </w:r>
      <w:r>
        <w:rPr>
          <w:noProof/>
          <w:highlight w:val="green"/>
        </w:rPr>
        <w:instrText>Trist</w:instrText>
      </w:r>
      <w:r>
        <w:rPr>
          <w:highlight w:val="green"/>
        </w:rPr>
        <w:instrText xml:space="preserve">" </w:instrText>
      </w:r>
      <w:r>
        <w:rPr>
          <w:highlight w:val="green"/>
        </w:rPr>
        <w:fldChar w:fldCharType="end"/>
      </w:r>
      <w:r>
        <w:t xml:space="preserve"> (1969) mettent en évidence la double dimension technique et sociale de l’entreprise et privilégient les groupes de travail semi-autonomes fondés sur la polyvalence et le travail en groupe. Selon les théories qui perçoivent l’entreprise comme un groupe social, le contrôle de gestion est un moyen pour stimuler les acteurs de l’organisation.</w:t>
      </w:r>
    </w:p>
    <w:p w14:paraId="7A7343C8" w14:textId="77777777" w:rsidR="005D07A6" w:rsidRDefault="00F42774">
      <w:pPr>
        <w:pStyle w:val="CTEspDessous"/>
      </w:pPr>
      <w:r>
        <w:t xml:space="preserve">Le système d’animation le plus répandu, inspiré de ces fondements théoriques est la </w:t>
      </w:r>
      <w:r>
        <w:rPr>
          <w:b/>
          <w:bCs/>
        </w:rPr>
        <w:t>DPO (direction par objectifs)</w:t>
      </w:r>
      <w:r>
        <w:rPr>
          <w:highlight w:val="green"/>
        </w:rPr>
        <w:fldChar w:fldCharType="begin"/>
      </w:r>
      <w:r>
        <w:rPr>
          <w:highlight w:val="green"/>
        </w:rPr>
        <w:instrText xml:space="preserve"> XE "</w:instrText>
      </w:r>
      <w:r>
        <w:rPr>
          <w:noProof/>
          <w:highlight w:val="green"/>
        </w:rPr>
        <w:instrText>DPO (direction par objectifs)</w:instrText>
      </w:r>
      <w:r>
        <w:rPr>
          <w:highlight w:val="green"/>
        </w:rPr>
        <w:instrText xml:space="preserve">" </w:instrText>
      </w:r>
      <w:r>
        <w:rPr>
          <w:highlight w:val="green"/>
        </w:rPr>
        <w:fldChar w:fldCharType="end"/>
      </w:r>
      <w:r>
        <w:t>. La DPO consiste à assigner aux responsables d’unités décentralisées, non pas des tâches, mais des objectifs. La direction générale laisse la liberté aux centres de responsabilité du choix des moyens nécessaires à la réalisation des objectifs fixés. Le centre est jugé en termes d’efficacité, c’est-à-dire sur sa capacité à atteindre les objectifs.</w:t>
      </w:r>
    </w:p>
    <w:p w14:paraId="32FC564E" w14:textId="77777777" w:rsidR="005D07A6" w:rsidRDefault="00F42774">
      <w:pPr>
        <w:pStyle w:val="CTEspDessous"/>
      </w:pPr>
      <w:r>
        <w:t>L’un des risques de la DPO est de fixer des objectifs trop ambitieux, ce qui peut entraîner une démotivation des centres de responsabilité. Pour éviter ce travers, la DPPO (direction participative aux objectifs) associe les responsables des centres à la fixation des objectifs.</w:t>
      </w:r>
    </w:p>
    <w:p w14:paraId="1587B18D" w14:textId="77777777" w:rsidR="005D07A6" w:rsidRDefault="00F42774">
      <w:pPr>
        <w:pStyle w:val="T4"/>
      </w:pPr>
      <w:r>
        <w:t>III.</w:t>
      </w:r>
      <w:r>
        <w:tab/>
        <w:t>L’approche systémique des organisations</w:t>
      </w:r>
    </w:p>
    <w:p w14:paraId="11B31F14" w14:textId="77777777" w:rsidR="005D07A6" w:rsidRDefault="00F42774">
      <w:pPr>
        <w:pStyle w:val="CTEspDessous"/>
      </w:pPr>
      <w:r>
        <w:t>Dans cette approche, l’entreprise est un système complexe, finalisé, ouvert sur un environnement incertain, regroupant des acteurs et des fonctions en interaction, et le contrôle de gestion est un instrument de pilotage du système.</w:t>
      </w:r>
    </w:p>
    <w:p w14:paraId="1FBC063A" w14:textId="77777777" w:rsidR="005D07A6" w:rsidRDefault="00F42774">
      <w:pPr>
        <w:pStyle w:val="CTEspDessous"/>
      </w:pPr>
      <w:r>
        <w:t xml:space="preserve">La </w:t>
      </w:r>
      <w:r>
        <w:rPr>
          <w:b/>
          <w:bCs/>
        </w:rPr>
        <w:t>cybernétique</w:t>
      </w:r>
      <w:r>
        <w:rPr>
          <w:highlight w:val="green"/>
        </w:rPr>
        <w:fldChar w:fldCharType="begin"/>
      </w:r>
      <w:r>
        <w:rPr>
          <w:highlight w:val="green"/>
        </w:rPr>
        <w:instrText xml:space="preserve"> XE "</w:instrText>
      </w:r>
      <w:r>
        <w:rPr>
          <w:noProof/>
          <w:highlight w:val="green"/>
        </w:rPr>
        <w:instrText>Cybernétique</w:instrText>
      </w:r>
      <w:r>
        <w:rPr>
          <w:highlight w:val="green"/>
        </w:rPr>
        <w:instrText xml:space="preserve">" </w:instrText>
      </w:r>
      <w:r>
        <w:rPr>
          <w:highlight w:val="green"/>
        </w:rPr>
        <w:fldChar w:fldCharType="end"/>
      </w:r>
      <w:r>
        <w:t>, science qui étudie les mécanismes de communication et de contrôle, permet de préciser le rôle du contrôle de gestion : c’est un sous-système qui permet d’organiser les rétroactions nécessaires sur les prévisions, les objectifs et les actions.</w:t>
      </w:r>
    </w:p>
    <w:p w14:paraId="0B47AF3F" w14:textId="77777777" w:rsidR="005D07A6" w:rsidRDefault="00F42774">
      <w:pPr>
        <w:pStyle w:val="TexteRenvoiExo"/>
      </w:pPr>
      <w:r>
        <w:lastRenderedPageBreak/>
        <w:t>La section 3 « Le contrôle de gestion, outil cybernétique de régulation », présentée précédemment, développe cette approche.</w:t>
      </w:r>
    </w:p>
    <w:p w14:paraId="581AC500" w14:textId="77777777" w:rsidR="005D07A6" w:rsidRDefault="00F42774">
      <w:pPr>
        <w:pStyle w:val="T4"/>
      </w:pPr>
      <w:r>
        <w:t>IV.</w:t>
      </w:r>
      <w:r>
        <w:tab/>
        <w:t>L’approche contingente des organisations</w:t>
      </w:r>
    </w:p>
    <w:p w14:paraId="160464EC" w14:textId="77777777" w:rsidR="005D07A6" w:rsidRDefault="00F42774">
      <w:pPr>
        <w:pStyle w:val="CT"/>
      </w:pPr>
      <w:r>
        <w:t xml:space="preserve">À la différence des théories classiques qui cherchent à établir </w:t>
      </w:r>
      <w:r>
        <w:rPr>
          <w:i/>
          <w:iCs/>
        </w:rPr>
        <w:t>the one best way</w:t>
      </w:r>
      <w:r>
        <w:t xml:space="preserve"> (LE bon modèle applicable quelle que soit l’organisation), la théorie de la </w:t>
      </w:r>
      <w:r>
        <w:rPr>
          <w:b/>
          <w:bCs/>
        </w:rPr>
        <w:t>contingence</w:t>
      </w:r>
      <w:r>
        <w:rPr>
          <w:highlight w:val="green"/>
        </w:rPr>
        <w:fldChar w:fldCharType="begin"/>
      </w:r>
      <w:r>
        <w:rPr>
          <w:highlight w:val="green"/>
        </w:rPr>
        <w:instrText xml:space="preserve"> XE "</w:instrText>
      </w:r>
      <w:r>
        <w:rPr>
          <w:noProof/>
          <w:highlight w:val="green"/>
        </w:rPr>
        <w:instrText>Contingence</w:instrText>
      </w:r>
      <w:r>
        <w:rPr>
          <w:highlight w:val="green"/>
        </w:rPr>
        <w:instrText xml:space="preserve">" </w:instrText>
      </w:r>
      <w:r>
        <w:rPr>
          <w:highlight w:val="green"/>
        </w:rPr>
        <w:fldChar w:fldCharType="end"/>
      </w:r>
      <w:r>
        <w:t xml:space="preserve"> montre qu’une organisation est soumise à un contexte particulier qui évolue avec elle.</w:t>
      </w:r>
    </w:p>
    <w:p w14:paraId="41A075FF" w14:textId="77777777" w:rsidR="005D07A6" w:rsidRDefault="00F42774">
      <w:pPr>
        <w:pStyle w:val="CT"/>
      </w:pPr>
      <w:r>
        <w:t>Plusieurs facteurs de contingence sont repérables :</w:t>
      </w:r>
    </w:p>
    <w:p w14:paraId="43DB7D52" w14:textId="77777777" w:rsidR="005D07A6" w:rsidRDefault="00F42774">
      <w:pPr>
        <w:pStyle w:val="ET"/>
      </w:pPr>
      <w:r>
        <w:t xml:space="preserve">la technologie : Joan </w:t>
      </w:r>
      <w:r>
        <w:rPr>
          <w:b/>
          <w:bCs/>
        </w:rPr>
        <w:t>Woodward</w:t>
      </w:r>
      <w:r>
        <w:rPr>
          <w:highlight w:val="green"/>
        </w:rPr>
        <w:fldChar w:fldCharType="begin"/>
      </w:r>
      <w:r>
        <w:rPr>
          <w:highlight w:val="green"/>
        </w:rPr>
        <w:instrText xml:space="preserve"> XE "</w:instrText>
      </w:r>
      <w:r>
        <w:rPr>
          <w:noProof/>
          <w:highlight w:val="green"/>
        </w:rPr>
        <w:instrText>Woodward</w:instrText>
      </w:r>
      <w:r>
        <w:rPr>
          <w:highlight w:val="green"/>
        </w:rPr>
        <w:instrText xml:space="preserve">" </w:instrText>
      </w:r>
      <w:r>
        <w:rPr>
          <w:highlight w:val="green"/>
        </w:rPr>
        <w:fldChar w:fldCharType="end"/>
      </w:r>
      <w:r>
        <w:t xml:space="preserve"> (1965) conclut que le choix d’une structure est influencé par la technologie de production utilisée : production en grandes séries, production unitaire et production continue ;</w:t>
      </w:r>
    </w:p>
    <w:p w14:paraId="566389C8" w14:textId="77777777" w:rsidR="005D07A6" w:rsidRDefault="00F42774">
      <w:pPr>
        <w:pStyle w:val="ET"/>
      </w:pPr>
      <w:r>
        <w:t xml:space="preserve">l’environnement : Paul </w:t>
      </w:r>
      <w:r>
        <w:rPr>
          <w:b/>
          <w:bCs/>
        </w:rPr>
        <w:t>Lawrence</w:t>
      </w:r>
      <w:r>
        <w:rPr>
          <w:highlight w:val="green"/>
        </w:rPr>
        <w:fldChar w:fldCharType="begin"/>
      </w:r>
      <w:r>
        <w:rPr>
          <w:highlight w:val="green"/>
        </w:rPr>
        <w:instrText xml:space="preserve"> XE "</w:instrText>
      </w:r>
      <w:r>
        <w:rPr>
          <w:noProof/>
          <w:highlight w:val="green"/>
        </w:rPr>
        <w:instrText>Lawrence</w:instrText>
      </w:r>
      <w:r>
        <w:rPr>
          <w:highlight w:val="green"/>
        </w:rPr>
        <w:instrText xml:space="preserve">" </w:instrText>
      </w:r>
      <w:r>
        <w:rPr>
          <w:highlight w:val="green"/>
        </w:rPr>
        <w:fldChar w:fldCharType="end"/>
      </w:r>
      <w:r>
        <w:t xml:space="preserve"> et Jay </w:t>
      </w:r>
      <w:r>
        <w:rPr>
          <w:b/>
          <w:bCs/>
        </w:rPr>
        <w:t>Lorsch</w:t>
      </w:r>
      <w:r>
        <w:rPr>
          <w:highlight w:val="green"/>
        </w:rPr>
        <w:fldChar w:fldCharType="begin"/>
      </w:r>
      <w:r>
        <w:rPr>
          <w:highlight w:val="green"/>
        </w:rPr>
        <w:instrText xml:space="preserve"> XE "</w:instrText>
      </w:r>
      <w:r>
        <w:rPr>
          <w:noProof/>
          <w:highlight w:val="green"/>
        </w:rPr>
        <w:instrText>Lorsch</w:instrText>
      </w:r>
      <w:r>
        <w:rPr>
          <w:highlight w:val="green"/>
        </w:rPr>
        <w:instrText xml:space="preserve">" </w:instrText>
      </w:r>
      <w:r>
        <w:rPr>
          <w:highlight w:val="green"/>
        </w:rPr>
        <w:fldChar w:fldCharType="end"/>
      </w:r>
      <w:r>
        <w:t xml:space="preserve"> (1967) ;</w:t>
      </w:r>
    </w:p>
    <w:p w14:paraId="43A99313" w14:textId="77777777" w:rsidR="005D07A6" w:rsidRDefault="00F42774">
      <w:pPr>
        <w:pStyle w:val="ET"/>
      </w:pPr>
      <w:r>
        <w:t xml:space="preserve">la taille, l’âge, le pouvoir : </w:t>
      </w:r>
      <w:r>
        <w:rPr>
          <w:b/>
          <w:bCs/>
        </w:rPr>
        <w:t>Mintzberg</w:t>
      </w:r>
      <w:r>
        <w:rPr>
          <w:highlight w:val="green"/>
        </w:rPr>
        <w:fldChar w:fldCharType="begin"/>
      </w:r>
      <w:r>
        <w:rPr>
          <w:highlight w:val="green"/>
        </w:rPr>
        <w:instrText xml:space="preserve"> XE "</w:instrText>
      </w:r>
      <w:r>
        <w:rPr>
          <w:noProof/>
          <w:highlight w:val="green"/>
        </w:rPr>
        <w:instrText>Mintzberg</w:instrText>
      </w:r>
      <w:r>
        <w:rPr>
          <w:highlight w:val="green"/>
        </w:rPr>
        <w:instrText xml:space="preserve">" </w:instrText>
      </w:r>
      <w:r>
        <w:rPr>
          <w:highlight w:val="green"/>
        </w:rPr>
        <w:fldChar w:fldCharType="end"/>
      </w:r>
      <w:r>
        <w:t xml:space="preserve"> (1982) fait une synthèse de la contingence ;</w:t>
      </w:r>
    </w:p>
    <w:p w14:paraId="5B7C1C70" w14:textId="77777777" w:rsidR="005D07A6" w:rsidRDefault="00F42774">
      <w:pPr>
        <w:pStyle w:val="ET"/>
      </w:pPr>
      <w:r>
        <w:t>les finalités (associations, services publics, entreprises, mutuelles, etc.).</w:t>
      </w:r>
    </w:p>
    <w:p w14:paraId="435BDB0A" w14:textId="77777777" w:rsidR="005D07A6" w:rsidRDefault="00F42774">
      <w:pPr>
        <w:pStyle w:val="CTEspDessous"/>
      </w:pPr>
      <w:r>
        <w:t xml:space="preserve">Le </w:t>
      </w:r>
      <w:r>
        <w:rPr>
          <w:b/>
          <w:bCs/>
        </w:rPr>
        <w:t>contrôle de gestion n’est pas un outil standard</w:t>
      </w:r>
      <w:r>
        <w:t> : il doit être en adéquation avec son environnement interne et externe. Sa place, l’importance de son rôle, sa conception et son utilisation diffèrent selon les spécificités des organisations.</w:t>
      </w:r>
    </w:p>
    <w:p w14:paraId="35EEED1E" w14:textId="77777777" w:rsidR="005D07A6" w:rsidRDefault="00F42774">
      <w:pPr>
        <w:pStyle w:val="T4"/>
      </w:pPr>
      <w:r>
        <w:t>V.</w:t>
      </w:r>
      <w:r>
        <w:tab/>
        <w:t>Les approches contractuelles des organisations</w:t>
      </w:r>
    </w:p>
    <w:p w14:paraId="2A0B739D" w14:textId="77777777" w:rsidR="005D07A6" w:rsidRDefault="00F42774">
      <w:pPr>
        <w:pStyle w:val="T5"/>
      </w:pPr>
      <w:r>
        <w:t>A.</w:t>
      </w:r>
      <w:r>
        <w:tab/>
        <w:t>la théorie des coûts de transaction</w:t>
      </w:r>
      <w:r>
        <w:rPr>
          <w:highlight w:val="green"/>
        </w:rPr>
        <w:fldChar w:fldCharType="begin"/>
      </w:r>
      <w:r>
        <w:rPr>
          <w:highlight w:val="green"/>
        </w:rPr>
        <w:instrText xml:space="preserve"> XE "</w:instrText>
      </w:r>
      <w:r>
        <w:rPr>
          <w:noProof/>
          <w:highlight w:val="green"/>
        </w:rPr>
        <w:instrText>Théorie</w:instrText>
      </w:r>
      <w:r>
        <w:rPr>
          <w:highlight w:val="green"/>
        </w:rPr>
        <w:instrText>:</w:instrText>
      </w:r>
      <w:r>
        <w:rPr>
          <w:noProof/>
          <w:highlight w:val="green"/>
        </w:rPr>
        <w:instrText>– des coûts de transaction</w:instrText>
      </w:r>
      <w:r>
        <w:rPr>
          <w:highlight w:val="green"/>
        </w:rPr>
        <w:instrText xml:space="preserve">" </w:instrText>
      </w:r>
      <w:r>
        <w:rPr>
          <w:highlight w:val="green"/>
        </w:rPr>
        <w:fldChar w:fldCharType="end"/>
      </w:r>
    </w:p>
    <w:p w14:paraId="145F0E1A" w14:textId="77777777" w:rsidR="005D07A6" w:rsidRDefault="00F42774">
      <w:pPr>
        <w:pStyle w:val="CTEspDessous"/>
      </w:pPr>
      <w:r>
        <w:t xml:space="preserve">La théorie des coûts de transaction (Ronald </w:t>
      </w:r>
      <w:r>
        <w:rPr>
          <w:b/>
          <w:bCs/>
        </w:rPr>
        <w:t>Coase</w:t>
      </w:r>
      <w:r>
        <w:rPr>
          <w:highlight w:val="green"/>
        </w:rPr>
        <w:fldChar w:fldCharType="begin"/>
      </w:r>
      <w:r>
        <w:rPr>
          <w:highlight w:val="green"/>
        </w:rPr>
        <w:instrText xml:space="preserve"> XE "</w:instrText>
      </w:r>
      <w:r>
        <w:rPr>
          <w:noProof/>
          <w:highlight w:val="green"/>
        </w:rPr>
        <w:instrText>Coase</w:instrText>
      </w:r>
      <w:r>
        <w:rPr>
          <w:highlight w:val="green"/>
        </w:rPr>
        <w:instrText xml:space="preserve">" </w:instrText>
      </w:r>
      <w:r>
        <w:rPr>
          <w:highlight w:val="green"/>
        </w:rPr>
        <w:fldChar w:fldCharType="end"/>
      </w:r>
      <w:r>
        <w:t xml:space="preserve"> en 1937, puis Oliver </w:t>
      </w:r>
      <w:r>
        <w:rPr>
          <w:b/>
          <w:bCs/>
        </w:rPr>
        <w:t>Williamson</w:t>
      </w:r>
      <w:r>
        <w:rPr>
          <w:highlight w:val="green"/>
        </w:rPr>
        <w:fldChar w:fldCharType="begin"/>
      </w:r>
      <w:r>
        <w:rPr>
          <w:highlight w:val="green"/>
        </w:rPr>
        <w:instrText xml:space="preserve"> XE "</w:instrText>
      </w:r>
      <w:r>
        <w:rPr>
          <w:noProof/>
          <w:highlight w:val="green"/>
        </w:rPr>
        <w:instrText>Williamson</w:instrText>
      </w:r>
      <w:r>
        <w:rPr>
          <w:highlight w:val="green"/>
        </w:rPr>
        <w:instrText xml:space="preserve">" </w:instrText>
      </w:r>
      <w:r>
        <w:rPr>
          <w:highlight w:val="green"/>
        </w:rPr>
        <w:fldChar w:fldCharType="end"/>
      </w:r>
      <w:r>
        <w:t xml:space="preserve"> en 1975) justifie l’existence de la firme en tant que forme particulière d’organisation.</w:t>
      </w:r>
    </w:p>
    <w:p w14:paraId="1DACBA8A" w14:textId="77777777" w:rsidR="005D07A6" w:rsidRDefault="00F42774">
      <w:pPr>
        <w:pStyle w:val="CTEspDessous"/>
      </w:pPr>
      <w:r>
        <w:t>Il existe deux formes de coopération économique : la coordination par le marché par un système de prix et la coordination administrative (ou hiérarchique) au sein d’une firme.</w:t>
      </w:r>
    </w:p>
    <w:p w14:paraId="067CF15D" w14:textId="77777777" w:rsidR="005D07A6" w:rsidRDefault="00F42774">
      <w:pPr>
        <w:pStyle w:val="CTEspDessous"/>
      </w:pPr>
      <w:r>
        <w:t>Dans une économie de marché, il existe, pour chaque transaction, des coûts incontournables de fonctionnement du système d’échange : coût d’information, coût de transport, coût de négociation, etc.</w:t>
      </w:r>
    </w:p>
    <w:p w14:paraId="02443D3A" w14:textId="77777777" w:rsidR="005D07A6" w:rsidRDefault="00F42774">
      <w:pPr>
        <w:pStyle w:val="CTEspDessous"/>
      </w:pPr>
      <w:r>
        <w:t>Le recours à la firme permet de les éviter mais génère des coûts internes organisationnels de fonctionnement, ce qui limite la substitution complète du marché par les organisations.</w:t>
      </w:r>
    </w:p>
    <w:p w14:paraId="0EED95A4" w14:textId="77777777" w:rsidR="005D07A6" w:rsidRDefault="00F42774">
      <w:pPr>
        <w:pStyle w:val="T5"/>
      </w:pPr>
      <w:r>
        <w:t>B.</w:t>
      </w:r>
      <w:r>
        <w:tab/>
        <w:t>la théorie de droits de propriété</w:t>
      </w:r>
    </w:p>
    <w:p w14:paraId="4B927791" w14:textId="77777777" w:rsidR="005D07A6" w:rsidRDefault="00F42774">
      <w:pPr>
        <w:pStyle w:val="CTEspDessous"/>
      </w:pPr>
      <w:r>
        <w:t xml:space="preserve">La théorie des droits de propriété a été développée par Armen </w:t>
      </w:r>
      <w:r>
        <w:rPr>
          <w:b/>
          <w:bCs/>
        </w:rPr>
        <w:t>Alchian</w:t>
      </w:r>
      <w:r>
        <w:rPr>
          <w:highlight w:val="green"/>
        </w:rPr>
        <w:fldChar w:fldCharType="begin"/>
      </w:r>
      <w:r>
        <w:rPr>
          <w:highlight w:val="green"/>
        </w:rPr>
        <w:instrText xml:space="preserve"> XE "</w:instrText>
      </w:r>
      <w:r>
        <w:rPr>
          <w:noProof/>
          <w:highlight w:val="green"/>
        </w:rPr>
        <w:instrText>Alchian</w:instrText>
      </w:r>
      <w:r>
        <w:rPr>
          <w:highlight w:val="green"/>
        </w:rPr>
        <w:instrText xml:space="preserve">" </w:instrText>
      </w:r>
      <w:r>
        <w:rPr>
          <w:highlight w:val="green"/>
        </w:rPr>
        <w:fldChar w:fldCharType="end"/>
      </w:r>
      <w:r>
        <w:t xml:space="preserve"> et Harold </w:t>
      </w:r>
      <w:r>
        <w:rPr>
          <w:b/>
          <w:bCs/>
        </w:rPr>
        <w:t>Demsetz</w:t>
      </w:r>
      <w:r>
        <w:rPr>
          <w:highlight w:val="green"/>
        </w:rPr>
        <w:fldChar w:fldCharType="begin"/>
      </w:r>
      <w:r>
        <w:rPr>
          <w:highlight w:val="green"/>
        </w:rPr>
        <w:instrText xml:space="preserve"> XE "</w:instrText>
      </w:r>
      <w:r>
        <w:rPr>
          <w:noProof/>
          <w:highlight w:val="green"/>
        </w:rPr>
        <w:instrText>Demsetz</w:instrText>
      </w:r>
      <w:r>
        <w:rPr>
          <w:highlight w:val="green"/>
        </w:rPr>
        <w:instrText xml:space="preserve">" </w:instrText>
      </w:r>
      <w:r>
        <w:rPr>
          <w:highlight w:val="green"/>
        </w:rPr>
        <w:fldChar w:fldCharType="end"/>
      </w:r>
      <w:r>
        <w:t xml:space="preserve"> (1972) et s’inspire des travaux d’Adolf </w:t>
      </w:r>
      <w:r>
        <w:rPr>
          <w:b/>
          <w:bCs/>
        </w:rPr>
        <w:t>Berle</w:t>
      </w:r>
      <w:r>
        <w:rPr>
          <w:highlight w:val="green"/>
        </w:rPr>
        <w:fldChar w:fldCharType="begin"/>
      </w:r>
      <w:r>
        <w:rPr>
          <w:highlight w:val="green"/>
        </w:rPr>
        <w:instrText xml:space="preserve"> XE "</w:instrText>
      </w:r>
      <w:r>
        <w:rPr>
          <w:noProof/>
          <w:highlight w:val="green"/>
        </w:rPr>
        <w:instrText>Berle</w:instrText>
      </w:r>
      <w:r>
        <w:rPr>
          <w:highlight w:val="green"/>
        </w:rPr>
        <w:instrText xml:space="preserve">" </w:instrText>
      </w:r>
      <w:r>
        <w:rPr>
          <w:highlight w:val="green"/>
        </w:rPr>
        <w:fldChar w:fldCharType="end"/>
      </w:r>
      <w:r>
        <w:t xml:space="preserve"> et Gardiner </w:t>
      </w:r>
      <w:r>
        <w:rPr>
          <w:b/>
          <w:bCs/>
        </w:rPr>
        <w:t>Means</w:t>
      </w:r>
      <w:r>
        <w:rPr>
          <w:highlight w:val="green"/>
        </w:rPr>
        <w:fldChar w:fldCharType="begin"/>
      </w:r>
      <w:r>
        <w:rPr>
          <w:highlight w:val="green"/>
        </w:rPr>
        <w:instrText xml:space="preserve"> XE "</w:instrText>
      </w:r>
      <w:r>
        <w:rPr>
          <w:noProof/>
          <w:highlight w:val="green"/>
        </w:rPr>
        <w:instrText>Means</w:instrText>
      </w:r>
      <w:r>
        <w:rPr>
          <w:highlight w:val="green"/>
        </w:rPr>
        <w:instrText xml:space="preserve">" </w:instrText>
      </w:r>
      <w:r>
        <w:rPr>
          <w:highlight w:val="green"/>
        </w:rPr>
        <w:fldChar w:fldCharType="end"/>
      </w:r>
      <w:r>
        <w:t xml:space="preserve"> (1932) sur les relations entre propriétaires et gestionnaires.</w:t>
      </w:r>
      <w:r>
        <w:rPr>
          <w:highlight w:val="green"/>
        </w:rPr>
        <w:fldChar w:fldCharType="begin"/>
      </w:r>
      <w:r>
        <w:rPr>
          <w:highlight w:val="green"/>
        </w:rPr>
        <w:instrText xml:space="preserve"> XE "</w:instrText>
      </w:r>
      <w:r>
        <w:rPr>
          <w:noProof/>
          <w:highlight w:val="green"/>
        </w:rPr>
        <w:instrText>Théorie</w:instrText>
      </w:r>
      <w:r>
        <w:rPr>
          <w:highlight w:val="green"/>
        </w:rPr>
        <w:instrText>:</w:instrText>
      </w:r>
      <w:r>
        <w:rPr>
          <w:noProof/>
          <w:highlight w:val="green"/>
        </w:rPr>
        <w:instrText>– de droits de propriété</w:instrText>
      </w:r>
      <w:r>
        <w:rPr>
          <w:highlight w:val="green"/>
        </w:rPr>
        <w:instrText xml:space="preserve">" </w:instrText>
      </w:r>
      <w:r>
        <w:rPr>
          <w:highlight w:val="green"/>
        </w:rPr>
        <w:fldChar w:fldCharType="end"/>
      </w:r>
    </w:p>
    <w:p w14:paraId="4D01CEFD" w14:textId="77777777" w:rsidR="005D07A6" w:rsidRDefault="00F42774">
      <w:pPr>
        <w:pStyle w:val="CTEspDessous"/>
      </w:pPr>
      <w:r>
        <w:t>Dans l’entreprise, propriétaires et dirigeants (managers) n’ont pas les mêmes objectifs, les mêmes informations et les mêmes moyens d’action.</w:t>
      </w:r>
    </w:p>
    <w:p w14:paraId="596EAD87" w14:textId="77777777" w:rsidR="005D07A6" w:rsidRDefault="00F42774">
      <w:pPr>
        <w:pStyle w:val="CTEspDessous"/>
      </w:pPr>
      <w:r>
        <w:t>Ce type de délégation (donc de contrats) donne lieu à des conflits, des jeux de pouvoirs et des contrôles.</w:t>
      </w:r>
    </w:p>
    <w:p w14:paraId="06040A49" w14:textId="77777777" w:rsidR="005D07A6" w:rsidRDefault="00F42774">
      <w:pPr>
        <w:pStyle w:val="T5"/>
      </w:pPr>
      <w:r>
        <w:t>C.</w:t>
      </w:r>
      <w:r>
        <w:tab/>
        <w:t>la théorie de l’agence</w:t>
      </w:r>
      <w:r>
        <w:rPr>
          <w:highlight w:val="green"/>
        </w:rPr>
        <w:fldChar w:fldCharType="begin"/>
      </w:r>
      <w:r>
        <w:rPr>
          <w:highlight w:val="green"/>
        </w:rPr>
        <w:instrText xml:space="preserve"> XE "</w:instrText>
      </w:r>
      <w:r>
        <w:rPr>
          <w:noProof/>
          <w:highlight w:val="green"/>
        </w:rPr>
        <w:instrText>Théorie</w:instrText>
      </w:r>
      <w:r>
        <w:rPr>
          <w:highlight w:val="green"/>
        </w:rPr>
        <w:instrText>:</w:instrText>
      </w:r>
      <w:r>
        <w:rPr>
          <w:noProof/>
          <w:highlight w:val="green"/>
        </w:rPr>
        <w:instrText>– de l’agence</w:instrText>
      </w:r>
      <w:r>
        <w:rPr>
          <w:highlight w:val="green"/>
        </w:rPr>
        <w:instrText xml:space="preserve">" </w:instrText>
      </w:r>
      <w:r>
        <w:rPr>
          <w:highlight w:val="green"/>
        </w:rPr>
        <w:fldChar w:fldCharType="end"/>
      </w:r>
    </w:p>
    <w:p w14:paraId="640B37C2" w14:textId="77777777" w:rsidR="005D07A6" w:rsidRDefault="00F42774">
      <w:pPr>
        <w:pStyle w:val="CTEspDessous"/>
      </w:pPr>
      <w:r>
        <w:t xml:space="preserve">La théorie de l’agence a été développée en 1976 par Michael </w:t>
      </w:r>
      <w:r>
        <w:rPr>
          <w:b/>
          <w:bCs/>
        </w:rPr>
        <w:t>Jensen</w:t>
      </w:r>
      <w:r>
        <w:rPr>
          <w:highlight w:val="green"/>
        </w:rPr>
        <w:fldChar w:fldCharType="begin"/>
      </w:r>
      <w:r>
        <w:rPr>
          <w:highlight w:val="green"/>
        </w:rPr>
        <w:instrText xml:space="preserve"> XE "</w:instrText>
      </w:r>
      <w:r>
        <w:rPr>
          <w:noProof/>
          <w:highlight w:val="green"/>
        </w:rPr>
        <w:instrText>Jensen</w:instrText>
      </w:r>
      <w:r>
        <w:rPr>
          <w:highlight w:val="green"/>
        </w:rPr>
        <w:instrText xml:space="preserve">" </w:instrText>
      </w:r>
      <w:r>
        <w:rPr>
          <w:highlight w:val="green"/>
        </w:rPr>
        <w:fldChar w:fldCharType="end"/>
      </w:r>
      <w:r>
        <w:t xml:space="preserve"> et William </w:t>
      </w:r>
      <w:r>
        <w:rPr>
          <w:b/>
          <w:bCs/>
        </w:rPr>
        <w:t>Meckling</w:t>
      </w:r>
      <w:r>
        <w:rPr>
          <w:highlight w:val="green"/>
        </w:rPr>
        <w:fldChar w:fldCharType="begin"/>
      </w:r>
      <w:r>
        <w:rPr>
          <w:highlight w:val="green"/>
        </w:rPr>
        <w:instrText xml:space="preserve"> XE "</w:instrText>
      </w:r>
      <w:r>
        <w:rPr>
          <w:noProof/>
          <w:highlight w:val="green"/>
        </w:rPr>
        <w:instrText>Meckling</w:instrText>
      </w:r>
      <w:r>
        <w:rPr>
          <w:highlight w:val="green"/>
        </w:rPr>
        <w:instrText xml:space="preserve">" </w:instrText>
      </w:r>
      <w:r>
        <w:rPr>
          <w:highlight w:val="green"/>
        </w:rPr>
        <w:fldChar w:fldCharType="end"/>
      </w:r>
      <w:r>
        <w:t>. Elle fait la synthèse des deux approches précédentes. La théorie de l’agence appréhende l’entreprise comme un ensemble de contrats au sein de l’organisation qu’il faut mettre en place et contrôler.</w:t>
      </w:r>
    </w:p>
    <w:p w14:paraId="1D66F1E2" w14:textId="77777777" w:rsidR="005D07A6" w:rsidRDefault="00F42774">
      <w:pPr>
        <w:pStyle w:val="CTEspDessous"/>
      </w:pPr>
      <w:r>
        <w:lastRenderedPageBreak/>
        <w:t>Toute relation contractuelle interne ou externe à une organisation est une relation d’agence (le principal engage l’agent pour exécuter en son nom une tâche) caractérisée par l’asymétrie d’information (l’agent a en général une meilleure connaissance de la tâche qu’il doit accomplir). Il existe une divergence d’intérêts entre le principal et l’agent, et si le principal veut contrôler l’agent, il doit supporter des coûts d’agence.</w:t>
      </w:r>
    </w:p>
    <w:p w14:paraId="115A2DDE" w14:textId="77777777" w:rsidR="005D07A6" w:rsidRDefault="00F42774">
      <w:pPr>
        <w:pStyle w:val="CTEspDessous"/>
      </w:pPr>
      <w:r>
        <w:t xml:space="preserve">Selon les approches contractuelles, le contrôle de gestion est un </w:t>
      </w:r>
      <w:r>
        <w:rPr>
          <w:b/>
          <w:bCs/>
        </w:rPr>
        <w:t>outil de régulation des comportements</w:t>
      </w:r>
      <w:r>
        <w:t>. Il doit être élaboré et utilisé comme un outil de mesure des performances, un système d’information et de communication pour limiter les comportements opportunistes. Il doit également contribuer à la convergence des objectifs individuels et organisationnels.</w:t>
      </w:r>
    </w:p>
    <w:p w14:paraId="4B9E4B0E" w14:textId="77777777" w:rsidR="005D07A6" w:rsidRDefault="00F42774">
      <w:pPr>
        <w:pStyle w:val="CTEspDessous"/>
      </w:pPr>
      <w:r>
        <w:t>Le contrôle de gestion doit donc permettre de mesurer, coordonner et faire communiquer les différentes unités internes ou extérieures à l’organisation. Il sera d’autant plus difficile et complexe que l’entreprise sera éclatée (ou en réseau) en raison des stratégies d’impartition : coopération, sous-traitance, franchise, etc.</w:t>
      </w:r>
    </w:p>
    <w:p w14:paraId="12B234C6" w14:textId="77777777" w:rsidR="005D07A6" w:rsidRDefault="00F42774">
      <w:pPr>
        <w:pStyle w:val="CTEspDessous"/>
      </w:pPr>
      <w:r>
        <w:t>Il doit aussi permettre de réaliser des arbitrages : internalisation/externalisation.</w:t>
      </w:r>
    </w:p>
    <w:p w14:paraId="599F5DDB" w14:textId="77777777" w:rsidR="005D07A6" w:rsidRDefault="00F42774">
      <w:pPr>
        <w:pStyle w:val="T1"/>
      </w:pPr>
      <w:r>
        <w:t>Partie 2. La méthode traditionnelle de calcul du coût complet</w:t>
      </w:r>
    </w:p>
    <w:p w14:paraId="51E070CD" w14:textId="77777777" w:rsidR="005D07A6" w:rsidRDefault="00F42774">
      <w:pPr>
        <w:pStyle w:val="T2"/>
      </w:pPr>
      <w:r>
        <w:t>Chapitre 1.</w:t>
      </w:r>
      <w:r>
        <w:tab/>
        <w:t>Les étapes de calcul du coût complet</w:t>
      </w:r>
    </w:p>
    <w:p w14:paraId="2A5444F0" w14:textId="77777777" w:rsidR="005D07A6" w:rsidRDefault="00F42774">
      <w:pPr>
        <w:pStyle w:val="debutfilet"/>
      </w:pPr>
      <w:r>
        <w:t>Competences_attendues</w:t>
      </w:r>
    </w:p>
    <w:p w14:paraId="7DE56434" w14:textId="77777777" w:rsidR="005D07A6" w:rsidRDefault="00F42774">
      <w:pPr>
        <w:pStyle w:val="ET"/>
      </w:pPr>
      <w:r>
        <w:t xml:space="preserve">Calculer et interpréter des coûts, des marges et des résultats dans un contexte donné. </w:t>
      </w:r>
    </w:p>
    <w:p w14:paraId="644227DC" w14:textId="77777777" w:rsidR="005D07A6" w:rsidRDefault="00F42774">
      <w:pPr>
        <w:pStyle w:val="ET"/>
      </w:pPr>
      <w:r>
        <w:t>Apprécier les intérêts et limites des méthodes de calcul de coûts afin de choisir celle(s) adaptée(s) au contexte de gestion.</w:t>
      </w:r>
    </w:p>
    <w:p w14:paraId="58FFFE42" w14:textId="77777777" w:rsidR="005D07A6" w:rsidRDefault="00F42774">
      <w:pPr>
        <w:pStyle w:val="finfilet"/>
      </w:pPr>
      <w:r>
        <w:t>Fin Competences_attendues</w:t>
      </w:r>
    </w:p>
    <w:p w14:paraId="6FCA13EC" w14:textId="77777777" w:rsidR="005D07A6" w:rsidRDefault="00F42774">
      <w:pPr>
        <w:pStyle w:val="T3"/>
      </w:pPr>
      <w:r>
        <w:t>section 1.</w:t>
      </w:r>
      <w:r>
        <w:tab/>
        <w:t>Le processus de production</w:t>
      </w:r>
    </w:p>
    <w:p w14:paraId="366B3ECB" w14:textId="77777777" w:rsidR="005D07A6" w:rsidRDefault="00F42774">
      <w:pPr>
        <w:pStyle w:val="CTEspDessous"/>
      </w:pPr>
      <w:r>
        <w:t>Les coûts complets réunissant la totalité des charges consommées par un objet de coût, leur calcul est généralement relativement fastidieux. Certaines charges sont facilement identifiables (les CD), d’autres sont communes à plusieurs objets de coûts (les CI). Certaines charges sont variables, d’autres fixes. Attribuer à un même objet de coût toutes les charges qui le concernent est donc un travail complexe.</w:t>
      </w:r>
    </w:p>
    <w:p w14:paraId="4B54C78A" w14:textId="77777777" w:rsidR="005D07A6" w:rsidRDefault="00F42774">
      <w:pPr>
        <w:pStyle w:val="CTEspDessous"/>
      </w:pPr>
      <w:r>
        <w:t>Pour comprendre comment se réalise le calcul des coûts complets, il faut avoir en tête l’objectif pour lequel ils sont calculés.</w:t>
      </w:r>
    </w:p>
    <w:p w14:paraId="0E77D227" w14:textId="77777777" w:rsidR="005D07A6" w:rsidRDefault="00F42774">
      <w:pPr>
        <w:pStyle w:val="CT"/>
      </w:pPr>
      <w:r>
        <w:t xml:space="preserve">Pourquoi calcule-t-on des coûts complets ? Pour </w:t>
      </w:r>
      <w:r>
        <w:rPr>
          <w:b/>
          <w:bCs/>
        </w:rPr>
        <w:t>deux raisons</w:t>
      </w:r>
      <w:r>
        <w:t xml:space="preserve"> essentiellement :</w:t>
      </w:r>
    </w:p>
    <w:p w14:paraId="25C5CD8E" w14:textId="77777777" w:rsidR="005D07A6" w:rsidRDefault="00F42774">
      <w:pPr>
        <w:pStyle w:val="ET"/>
      </w:pPr>
      <w:r>
        <w:t xml:space="preserve">pour </w:t>
      </w:r>
      <w:r>
        <w:rPr>
          <w:b/>
          <w:bCs/>
        </w:rPr>
        <w:t>avoir une idée de la rentabilité globale d’une activité</w:t>
      </w:r>
      <w:r>
        <w:t xml:space="preserve"> : on cherche alors à savoir si le </w:t>
      </w:r>
      <w:r>
        <w:rPr>
          <w:b/>
          <w:bCs/>
        </w:rPr>
        <w:t>coût de revient</w:t>
      </w:r>
      <w:r>
        <w:t> – c’est-à-dire le coût le plus complet, celui qui additionne la totalité des consommations nécessaires à la réalisation de l’activité jusqu’à la livraison au client – est inférieur au chiffre d’affaires généré par l’activité ;</w:t>
      </w:r>
    </w:p>
    <w:p w14:paraId="306B7A95" w14:textId="77777777" w:rsidR="005D07A6" w:rsidRDefault="00F42774">
      <w:pPr>
        <w:pStyle w:val="ET"/>
      </w:pPr>
      <w:r>
        <w:t xml:space="preserve">pour </w:t>
      </w:r>
      <w:r>
        <w:rPr>
          <w:b/>
          <w:bCs/>
        </w:rPr>
        <w:t>valoriser les stocks</w:t>
      </w:r>
      <w:r>
        <w:t> : en effet, pour établir ses comptes (notamment le bilan annuel de la comptabilité financière), l’entreprise doit valoriser ses stocks au coût complet (</w:t>
      </w:r>
      <w:r>
        <w:rPr>
          <w:b/>
          <w:bCs/>
        </w:rPr>
        <w:t>coût d’approvisionnement</w:t>
      </w:r>
      <w:r>
        <w:t xml:space="preserve"> pour les matières et marchandises, </w:t>
      </w:r>
      <w:r>
        <w:rPr>
          <w:b/>
          <w:bCs/>
        </w:rPr>
        <w:t>coût de production</w:t>
      </w:r>
      <w:r>
        <w:t xml:space="preserve"> pour les produits finis), c’est-à-dire à la valeur de la totalité des consommations nécessaires à leur existence (prix d’achat ou de production, mais aussi frais indirects sur achats, coût du stockage, manipulations, entretien, etc.).</w:t>
      </w:r>
    </w:p>
    <w:p w14:paraId="264A703C" w14:textId="77777777" w:rsidR="005D07A6" w:rsidRDefault="00F42774">
      <w:pPr>
        <w:pStyle w:val="CT"/>
      </w:pPr>
      <w:r>
        <w:t>Ces deux objectifs permettent de comprendre la démarche de calcul des coûts complets :</w:t>
      </w:r>
    </w:p>
    <w:p w14:paraId="10C079ED" w14:textId="77777777" w:rsidR="005D07A6" w:rsidRDefault="00F42774">
      <w:pPr>
        <w:pStyle w:val="ET"/>
      </w:pPr>
      <w:r>
        <w:lastRenderedPageBreak/>
        <w:t xml:space="preserve">toute entreprise doit calculer un </w:t>
      </w:r>
      <w:r>
        <w:rPr>
          <w:b/>
          <w:bCs/>
        </w:rPr>
        <w:t>coût de revient</w:t>
      </w:r>
      <w:r>
        <w:t>, stade ultime des calculs de coûts complets ;</w:t>
      </w:r>
    </w:p>
    <w:p w14:paraId="4312418E" w14:textId="77777777" w:rsidR="005D07A6" w:rsidRDefault="00F42774">
      <w:pPr>
        <w:pStyle w:val="ET"/>
      </w:pPr>
      <w:r>
        <w:t>les entreprises qui ont des stocks doivent calculer des coûts complets d’approvisionnement ou de production correspondant à chacun de leurs stocks.</w:t>
      </w:r>
    </w:p>
    <w:p w14:paraId="2E69B0DD" w14:textId="77777777" w:rsidR="005D07A6" w:rsidRDefault="00F42774">
      <w:pPr>
        <w:pStyle w:val="CT"/>
      </w:pPr>
      <w:r>
        <w:t xml:space="preserve">Autrement dit, c’est l’existence (ou non) de stocks qui guide la démarche de calcul des coûts complets. Dans le PCG (jusqu’en 1982), la démarche proposée s’inspire de l’économie industrielle du début du </w:t>
      </w:r>
      <w:r>
        <w:rPr>
          <w:smallCaps/>
        </w:rPr>
        <w:t>xx</w:t>
      </w:r>
      <w:r>
        <w:rPr>
          <w:vertAlign w:val="superscript"/>
        </w:rPr>
        <w:t>e</w:t>
      </w:r>
      <w:r>
        <w:t> siècle. Dans les entreprises industrielles, le processus de production suit assez inévitablement le schéma traditionnel suivant :</w:t>
      </w:r>
    </w:p>
    <w:p w14:paraId="27B2E4AE" w14:textId="77777777" w:rsidR="005D07A6" w:rsidRDefault="00F42774">
      <w:pPr>
        <w:pStyle w:val="CT"/>
        <w:jc w:val="center"/>
      </w:pPr>
      <w:r>
        <w:rPr>
          <w:noProof/>
        </w:rPr>
        <w:drawing>
          <wp:inline distT="0" distB="0" distL="0" distR="0" wp14:anchorId="60D1269B" wp14:editId="52C2E478">
            <wp:extent cx="4871126" cy="493819"/>
            <wp:effectExtent l="0" t="0" r="0" b="1905"/>
            <wp:docPr id="11" name="Image 11" descr="Pas de visualisation pour [UE202526_433_S1_fichiers/UE121S1_013.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s de visualisation pour [UE202526_433_S1_fichiers/UE121S1_013.png] !"/>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71126" cy="493819"/>
                    </a:xfrm>
                    <a:prstGeom prst="rect">
                      <a:avLst/>
                    </a:prstGeom>
                    <a:noFill/>
                    <a:ln>
                      <a:noFill/>
                    </a:ln>
                  </pic:spPr>
                </pic:pic>
              </a:graphicData>
            </a:graphic>
          </wp:inline>
        </w:drawing>
      </w:r>
      <w:r>
        <w:t>&lt;image&gt;UE121S1_013.png&lt;/image&gt;</w:t>
      </w:r>
    </w:p>
    <w:p w14:paraId="14FBAB40" w14:textId="77777777" w:rsidR="005D07A6" w:rsidRDefault="00F42774">
      <w:pPr>
        <w:pStyle w:val="CT"/>
      </w:pPr>
      <w:r>
        <w:t>Dans ce schéma, il apparaît logique de proposer un calcul des coûts complets faisant apparaître :</w:t>
      </w:r>
    </w:p>
    <w:p w14:paraId="15E56708" w14:textId="77777777" w:rsidR="005D07A6" w:rsidRDefault="00F42774">
      <w:pPr>
        <w:pStyle w:val="ET"/>
      </w:pPr>
      <w:r>
        <w:t>le coût complet des matières premières stockées ;</w:t>
      </w:r>
    </w:p>
    <w:p w14:paraId="1CAE5AE6" w14:textId="77777777" w:rsidR="005D07A6" w:rsidRDefault="00F42774">
      <w:pPr>
        <w:pStyle w:val="ET"/>
      </w:pPr>
      <w:r>
        <w:t>le coût complet des produits finis stockés ;</w:t>
      </w:r>
    </w:p>
    <w:p w14:paraId="67E1FDD9" w14:textId="77777777" w:rsidR="005D07A6" w:rsidRDefault="00F42774">
      <w:pPr>
        <w:pStyle w:val="ET"/>
      </w:pPr>
      <w:r>
        <w:t>le coût de revient (coût complet des produits finis vendus).</w:t>
      </w:r>
    </w:p>
    <w:p w14:paraId="63D454EE" w14:textId="77777777" w:rsidR="005D07A6" w:rsidRDefault="00F42774">
      <w:pPr>
        <w:pStyle w:val="CT"/>
      </w:pPr>
      <w:r>
        <w:t>Bien entendu, si le processus de production se décompose en plusieurs étapes avec des stocks de produits intermédiaires, on décompose les étapes, comme dans l’exemple suivant :</w:t>
      </w:r>
    </w:p>
    <w:p w14:paraId="63CB2C44" w14:textId="77777777" w:rsidR="005D07A6" w:rsidRDefault="00F42774">
      <w:pPr>
        <w:pStyle w:val="CT"/>
        <w:jc w:val="center"/>
      </w:pPr>
      <w:r>
        <w:rPr>
          <w:noProof/>
        </w:rPr>
        <w:drawing>
          <wp:inline distT="0" distB="0" distL="0" distR="0" wp14:anchorId="19C3B978" wp14:editId="04AEFD53">
            <wp:extent cx="4865030" cy="591363"/>
            <wp:effectExtent l="0" t="0" r="0" b="0"/>
            <wp:docPr id="12" name="Image 12" descr="Pas de visualisation pour [UE202526_433_S1_fichiers/UE121S1_012.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s de visualisation pour [UE202526_433_S1_fichiers/UE121S1_012.png] !"/>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65030" cy="591363"/>
                    </a:xfrm>
                    <a:prstGeom prst="rect">
                      <a:avLst/>
                    </a:prstGeom>
                    <a:noFill/>
                    <a:ln>
                      <a:noFill/>
                    </a:ln>
                  </pic:spPr>
                </pic:pic>
              </a:graphicData>
            </a:graphic>
          </wp:inline>
        </w:drawing>
      </w:r>
      <w:r>
        <w:t>&lt;image&gt;UE121S1_012.png&lt;/image&gt;</w:t>
      </w:r>
    </w:p>
    <w:p w14:paraId="046E0592" w14:textId="77777777" w:rsidR="005D07A6" w:rsidRDefault="00F42774">
      <w:pPr>
        <w:pStyle w:val="CT"/>
      </w:pPr>
      <w:r>
        <w:t>Dans ce deuxième schéma, les calculs feront apparaître :</w:t>
      </w:r>
    </w:p>
    <w:p w14:paraId="0BD875DA" w14:textId="77777777" w:rsidR="005D07A6" w:rsidRDefault="00F42774">
      <w:pPr>
        <w:pStyle w:val="ET"/>
      </w:pPr>
      <w:r>
        <w:t>le coût complet des matières premières stockées ;</w:t>
      </w:r>
    </w:p>
    <w:p w14:paraId="0A2DEE6F" w14:textId="77777777" w:rsidR="005D07A6" w:rsidRDefault="00F42774">
      <w:pPr>
        <w:pStyle w:val="ET"/>
      </w:pPr>
      <w:r>
        <w:t>le coût complet des produits intermédiaires stockés ;</w:t>
      </w:r>
    </w:p>
    <w:p w14:paraId="1F20E1AE" w14:textId="77777777" w:rsidR="005D07A6" w:rsidRDefault="00F42774">
      <w:pPr>
        <w:pStyle w:val="ET"/>
      </w:pPr>
      <w:r>
        <w:t>le coût complet des produits finis stockés ;</w:t>
      </w:r>
    </w:p>
    <w:p w14:paraId="4B7EA362" w14:textId="77777777" w:rsidR="005D07A6" w:rsidRDefault="00F42774">
      <w:pPr>
        <w:pStyle w:val="ET"/>
      </w:pPr>
      <w:r>
        <w:t>le coût de revient (coût complet des produits finis vendus).</w:t>
      </w:r>
    </w:p>
    <w:p w14:paraId="544EB1E7" w14:textId="77777777" w:rsidR="005D07A6" w:rsidRDefault="00F42774">
      <w:pPr>
        <w:pStyle w:val="CT"/>
      </w:pPr>
      <w:r>
        <w:t>Cette structure de calcul est adaptée aux entreprises industrielles, mais elle est aisément adaptable aux entreprises commerciales qui achètent pour revendre des produits (marchandises) en l’état :</w:t>
      </w:r>
    </w:p>
    <w:p w14:paraId="6A0BD9CF" w14:textId="77777777" w:rsidR="005D07A6" w:rsidRDefault="00F42774">
      <w:pPr>
        <w:pStyle w:val="CT"/>
        <w:jc w:val="center"/>
      </w:pPr>
      <w:r>
        <w:rPr>
          <w:noProof/>
        </w:rPr>
        <w:drawing>
          <wp:inline distT="0" distB="0" distL="0" distR="0" wp14:anchorId="48390CA1" wp14:editId="4FA64E29">
            <wp:extent cx="3170195" cy="377985"/>
            <wp:effectExtent l="0" t="0" r="0" b="3175"/>
            <wp:docPr id="13" name="Image 13" descr="Pas de visualisation pour [UE202526_433_S1_fichiers/UE121S1_011.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as de visualisation pour [UE202526_433_S1_fichiers/UE121S1_011.png] !"/>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170195" cy="377985"/>
                    </a:xfrm>
                    <a:prstGeom prst="rect">
                      <a:avLst/>
                    </a:prstGeom>
                    <a:noFill/>
                    <a:ln>
                      <a:noFill/>
                    </a:ln>
                  </pic:spPr>
                </pic:pic>
              </a:graphicData>
            </a:graphic>
          </wp:inline>
        </w:drawing>
      </w:r>
      <w:r>
        <w:t>&lt;image&gt;UE121S1_011.png&lt;/image&gt;</w:t>
      </w:r>
    </w:p>
    <w:p w14:paraId="63AFD3CE" w14:textId="77777777" w:rsidR="005D07A6" w:rsidRDefault="00F42774">
      <w:pPr>
        <w:pStyle w:val="CT"/>
      </w:pPr>
      <w:r>
        <w:t>Les calculs feront apparaître :</w:t>
      </w:r>
    </w:p>
    <w:p w14:paraId="6B5D7E78" w14:textId="77777777" w:rsidR="005D07A6" w:rsidRDefault="00F42774">
      <w:pPr>
        <w:pStyle w:val="ET"/>
      </w:pPr>
      <w:r>
        <w:t>le coût complet des marchandises stockées ;</w:t>
      </w:r>
    </w:p>
    <w:p w14:paraId="7CC9AC5D" w14:textId="77777777" w:rsidR="005D07A6" w:rsidRDefault="00F42774">
      <w:pPr>
        <w:pStyle w:val="ET"/>
      </w:pPr>
      <w:r>
        <w:t>le coût de revient (coût complet des produits finis vendus).</w:t>
      </w:r>
    </w:p>
    <w:p w14:paraId="5FE665D7" w14:textId="77777777" w:rsidR="005D07A6" w:rsidRDefault="00F42774">
      <w:pPr>
        <w:pStyle w:val="CT"/>
      </w:pPr>
      <w:r>
        <w:t>Il en est de même pour les entreprises de services qui n’ont généralement aucun stock de produits finis, mais peuvent avoir des stocks de matières :</w:t>
      </w:r>
    </w:p>
    <w:p w14:paraId="24DDE543" w14:textId="77777777" w:rsidR="005D07A6" w:rsidRDefault="00F42774">
      <w:pPr>
        <w:pStyle w:val="CT"/>
        <w:jc w:val="center"/>
      </w:pPr>
      <w:r>
        <w:rPr>
          <w:noProof/>
        </w:rPr>
        <w:drawing>
          <wp:inline distT="0" distB="0" distL="0" distR="0" wp14:anchorId="3A115449" wp14:editId="45DB42BF">
            <wp:extent cx="2944623" cy="377985"/>
            <wp:effectExtent l="0" t="0" r="8255" b="3175"/>
            <wp:docPr id="14" name="Image 14" descr="Pas de visualisation pour [UE202526_433_S1_fichiers/UE121S1_010.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as de visualisation pour [UE202526_433_S1_fichiers/UE121S1_010.png] !"/>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44623" cy="377985"/>
                    </a:xfrm>
                    <a:prstGeom prst="rect">
                      <a:avLst/>
                    </a:prstGeom>
                    <a:noFill/>
                    <a:ln>
                      <a:noFill/>
                    </a:ln>
                  </pic:spPr>
                </pic:pic>
              </a:graphicData>
            </a:graphic>
          </wp:inline>
        </w:drawing>
      </w:r>
      <w:r>
        <w:t>&lt;image&gt;UE121S1_010.png&lt;/image&gt;</w:t>
      </w:r>
    </w:p>
    <w:p w14:paraId="6FB1145A" w14:textId="77777777" w:rsidR="005D07A6" w:rsidRDefault="00F42774">
      <w:pPr>
        <w:pStyle w:val="CT"/>
      </w:pPr>
      <w:r>
        <w:t>Les calculs feront apparaître :</w:t>
      </w:r>
    </w:p>
    <w:p w14:paraId="7766B8CD" w14:textId="77777777" w:rsidR="005D07A6" w:rsidRDefault="00F42774">
      <w:pPr>
        <w:pStyle w:val="ET"/>
      </w:pPr>
      <w:r>
        <w:t>le coût complet des matières stockées ;</w:t>
      </w:r>
    </w:p>
    <w:p w14:paraId="3ACC9745" w14:textId="77777777" w:rsidR="005D07A6" w:rsidRDefault="00F42774">
      <w:pPr>
        <w:pStyle w:val="ET"/>
      </w:pPr>
      <w:r>
        <w:t>le coût de revient (coût complet des services vendus).</w:t>
      </w:r>
    </w:p>
    <w:p w14:paraId="55D40336" w14:textId="77777777" w:rsidR="005D07A6" w:rsidRDefault="00F42774">
      <w:pPr>
        <w:pStyle w:val="T3"/>
      </w:pPr>
      <w:r>
        <w:t>section 2.</w:t>
      </w:r>
      <w:r>
        <w:tab/>
        <w:t>Le problème des variations de stocks</w:t>
      </w:r>
    </w:p>
    <w:p w14:paraId="418C23F5" w14:textId="77777777" w:rsidR="005D07A6" w:rsidRDefault="00F42774">
      <w:pPr>
        <w:pStyle w:val="CTEspDessous"/>
      </w:pPr>
      <w:r>
        <w:t xml:space="preserve">Il est indispensable de calculer le coût complet des stocks pour remplir les obligations légales de la comptabilité financière. C’est également indispensable pour une raison technique : les volumes des stocks et leur valeur unitaire peuvent évoluer dans le temps. Si les stocks étaient constants, il serait possible de les ignorer : cela n’aurait aucun </w:t>
      </w:r>
      <w:r>
        <w:lastRenderedPageBreak/>
        <w:t>impact sur les calculs de coûts successifs. Mais lorsque les stocks varient, cela a un impact en cascade sur les calculs de coûts complets.</w:t>
      </w:r>
    </w:p>
    <w:p w14:paraId="384C32B7" w14:textId="77777777" w:rsidR="005D07A6" w:rsidRDefault="00F42774">
      <w:pPr>
        <w:pStyle w:val="debutfiletr"/>
      </w:pPr>
      <w:r>
        <w:t>Application _n-2</w:t>
      </w:r>
    </w:p>
    <w:p w14:paraId="5E425F9C" w14:textId="77777777" w:rsidR="005D07A6" w:rsidRDefault="00F42774">
      <w:pPr>
        <w:pStyle w:val="CT"/>
      </w:pPr>
      <w:r>
        <w:t>Un libraire possède un stock initial de cinq livres (tous identiques) achetés à 10 € chacun. Dans la journée, il achète cinq nouveaux livres (identiques aux premiers) à 10 € et vend cinq livres à 20 €.</w:t>
      </w:r>
    </w:p>
    <w:p w14:paraId="335AC84D" w14:textId="77777777" w:rsidR="005D07A6" w:rsidRDefault="00F42774">
      <w:pPr>
        <w:pStyle w:val="CT"/>
      </w:pPr>
      <w:r>
        <w:t>Ici, le stock final est donc égal au stock initial (cinq livres à 10 €) et le résultat de la journée peut être calculé en ignorant le stock qui n’a pas varié.</w:t>
      </w:r>
    </w:p>
    <w:p w14:paraId="3CC309A4" w14:textId="77777777" w:rsidR="005D07A6" w:rsidRDefault="00F42774">
      <w:pPr>
        <w:pStyle w:val="CT"/>
      </w:pPr>
      <w:r>
        <w:t>Résultat = Ventes – Achats = 100 – 50 = 50.</w:t>
      </w:r>
    </w:p>
    <w:p w14:paraId="21559FFD" w14:textId="77777777" w:rsidR="005D07A6" w:rsidRDefault="00F42774">
      <w:pPr>
        <w:pStyle w:val="CT"/>
      </w:pPr>
      <w:r>
        <w:t>Le deuxième jour, le même libraire a un stock initial de cinq livres à 10 €. Il achète cinq livres (toujours identiques) à 12 € (car l’éditeur vient de modifier le prix du livre) et en vend six à 20 €.</w:t>
      </w:r>
    </w:p>
    <w:p w14:paraId="6CE7645B" w14:textId="77777777" w:rsidR="005D07A6" w:rsidRDefault="00F42774">
      <w:pPr>
        <w:pStyle w:val="CT"/>
      </w:pPr>
      <w:r>
        <w:t>Il est toujours possible de calculer les variations de caisses de la journée indépendamment des stocks (Ventes – Achats = 120 – 60 = 60 €).</w:t>
      </w:r>
    </w:p>
    <w:p w14:paraId="0401E0C9" w14:textId="77777777" w:rsidR="005D07A6" w:rsidRDefault="00F42774">
      <w:pPr>
        <w:pStyle w:val="CT"/>
      </w:pPr>
      <w:r>
        <w:t>Mais cette recette n’est pas un résultat car, à la fin de la journée, le stock final du libraire n’est plus que de quatre livres et le coût d’achat des six livres vendus n’était pas de 10 €.</w:t>
      </w:r>
    </w:p>
    <w:p w14:paraId="57193DE2" w14:textId="77777777" w:rsidR="005D07A6" w:rsidRDefault="00F42774">
      <w:pPr>
        <w:pStyle w:val="CT"/>
      </w:pPr>
      <w:r>
        <w:t>Pour calculer le résultat de la journée, il faut déterminer :</w:t>
      </w:r>
    </w:p>
    <w:p w14:paraId="7E67F026" w14:textId="77777777" w:rsidR="005D07A6" w:rsidRDefault="00F42774">
      <w:pPr>
        <w:pStyle w:val="ET"/>
      </w:pPr>
      <w:r>
        <w:t>le prix de vente des livres vendus (120 €) ;</w:t>
      </w:r>
    </w:p>
    <w:p w14:paraId="7474D4F7" w14:textId="77777777" w:rsidR="005D07A6" w:rsidRDefault="00F42774">
      <w:pPr>
        <w:pStyle w:val="ET"/>
      </w:pPr>
      <w:r>
        <w:t>le coût d’achat des livres vendus : dans notre exemple, admettons que le coût d’achat des livres vendus soit égal à la moyenne pondérée des coûts d’achats. Le stock initial étant de cinq livres à 10 €, et les achats de la journée de cinq livres à 12 €, il en découle que le coût moyen d’achat des 10 livres disponibles à la vente est de 11 €. Les six livres vendus ont donc coûté en moyenne 6 × 11 = 66 € ;</w:t>
      </w:r>
    </w:p>
    <w:p w14:paraId="411B0EFA" w14:textId="77777777" w:rsidR="005D07A6" w:rsidRDefault="00F42774">
      <w:pPr>
        <w:pStyle w:val="ET"/>
      </w:pPr>
      <w:r>
        <w:t>la valeur de la variation du stock : le stock initial avait une valeur de 50 €. Le stock final est composé de quatre livres dont le coût moyen d’achat est de 11 €, soit 44 €.</w:t>
      </w:r>
    </w:p>
    <w:p w14:paraId="461A616A" w14:textId="77777777" w:rsidR="005D07A6" w:rsidRDefault="00F42774">
      <w:pPr>
        <w:pStyle w:val="CT"/>
      </w:pPr>
      <w:r>
        <w:t>Le résultat de la journée est donc de 120 – 66 – 50 + 44 = 48 €.</w:t>
      </w:r>
    </w:p>
    <w:p w14:paraId="7D17FC1E" w14:textId="77777777" w:rsidR="005D07A6" w:rsidRDefault="00F42774">
      <w:pPr>
        <w:pStyle w:val="finfiletr"/>
      </w:pPr>
      <w:r>
        <w:t>Fin Application</w:t>
      </w:r>
    </w:p>
    <w:p w14:paraId="1C2FF839" w14:textId="77777777" w:rsidR="005D07A6" w:rsidRDefault="00F42774">
      <w:pPr>
        <w:pStyle w:val="CTEspDessous"/>
      </w:pPr>
      <w:r>
        <w:t>On retiendra de cet exemple introductif l’idée que, lorsque l’entreprise a des stocks et que ceux-ci varient, il est indispensable de calculer la variation de ces stocks pour calculer les coûts complets successifs des différents stocks jusqu’au coût de revient.</w:t>
      </w:r>
    </w:p>
    <w:p w14:paraId="775256C7" w14:textId="77777777" w:rsidR="005D07A6" w:rsidRDefault="00F42774">
      <w:pPr>
        <w:pStyle w:val="T3"/>
      </w:pPr>
      <w:r>
        <w:t>section 3.</w:t>
      </w:r>
      <w:r>
        <w:tab/>
        <w:t>Les étapes de calcul</w:t>
      </w:r>
    </w:p>
    <w:p w14:paraId="2CD819B7" w14:textId="77777777" w:rsidR="005D07A6" w:rsidRDefault="00F42774">
      <w:pPr>
        <w:pStyle w:val="CT"/>
      </w:pPr>
      <w:r>
        <w:t>Les étapes de calcul des coûts suivent donc le processus de production :</w:t>
      </w:r>
    </w:p>
    <w:p w14:paraId="795F3A0C" w14:textId="77777777" w:rsidR="005D07A6" w:rsidRDefault="00F42774">
      <w:pPr>
        <w:pStyle w:val="CT"/>
        <w:jc w:val="center"/>
      </w:pPr>
      <w:r>
        <w:rPr>
          <w:noProof/>
        </w:rPr>
        <w:drawing>
          <wp:inline distT="0" distB="0" distL="0" distR="0" wp14:anchorId="079C6525" wp14:editId="15E0E20F">
            <wp:extent cx="4743099" cy="2103302"/>
            <wp:effectExtent l="0" t="0" r="635" b="0"/>
            <wp:docPr id="15" name="Image 15" descr="Pas de visualisation pour [UE202526_433_S1_fichiers/UE121S1_009.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as de visualisation pour [UE202526_433_S1_fichiers/UE121S1_009.png] !"/>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43099" cy="2103302"/>
                    </a:xfrm>
                    <a:prstGeom prst="rect">
                      <a:avLst/>
                    </a:prstGeom>
                    <a:noFill/>
                    <a:ln>
                      <a:noFill/>
                    </a:ln>
                  </pic:spPr>
                </pic:pic>
              </a:graphicData>
            </a:graphic>
          </wp:inline>
        </w:drawing>
      </w:r>
      <w:r>
        <w:t>&lt;image&gt;UE121S1_009.png&lt;/image&gt;</w:t>
      </w:r>
    </w:p>
    <w:p w14:paraId="5542E3E1" w14:textId="77777777" w:rsidR="005D07A6" w:rsidRDefault="00F42774">
      <w:pPr>
        <w:pStyle w:val="CT"/>
      </w:pPr>
      <w:r>
        <w:t>Lorsque l’entreprise a des stocks, on calculera :</w:t>
      </w:r>
    </w:p>
    <w:p w14:paraId="022D22F5" w14:textId="77777777" w:rsidR="005D07A6" w:rsidRDefault="00F42774">
      <w:pPr>
        <w:pStyle w:val="CT"/>
        <w:jc w:val="center"/>
      </w:pPr>
      <w:r>
        <w:rPr>
          <w:noProof/>
        </w:rPr>
        <w:lastRenderedPageBreak/>
        <w:drawing>
          <wp:inline distT="0" distB="0" distL="0" distR="0" wp14:anchorId="6F4D13F7" wp14:editId="7B03E59C">
            <wp:extent cx="4816257" cy="2103302"/>
            <wp:effectExtent l="0" t="0" r="3810" b="0"/>
            <wp:docPr id="16" name="Image 16" descr="Pas de visualisation pour [UE202526_433_S1_fichiers/UE121S1_008.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as de visualisation pour [UE202526_433_S1_fichiers/UE121S1_008.png] !"/>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816257" cy="2103302"/>
                    </a:xfrm>
                    <a:prstGeom prst="rect">
                      <a:avLst/>
                    </a:prstGeom>
                    <a:noFill/>
                    <a:ln>
                      <a:noFill/>
                    </a:ln>
                  </pic:spPr>
                </pic:pic>
              </a:graphicData>
            </a:graphic>
          </wp:inline>
        </w:drawing>
      </w:r>
      <w:r>
        <w:t>&lt;image&gt;UE121S1_008.png&lt;/image&gt;</w:t>
      </w:r>
    </w:p>
    <w:p w14:paraId="18A2B9EB" w14:textId="77777777" w:rsidR="005D07A6" w:rsidRDefault="00F42774">
      <w:pPr>
        <w:pStyle w:val="CT"/>
      </w:pPr>
      <w:r>
        <w:t>Les étapes du calcul suivent donc toujours le plan suivant :</w:t>
      </w:r>
    </w:p>
    <w:p w14:paraId="35C32698" w14:textId="77777777" w:rsidR="005D07A6" w:rsidRDefault="00F42774">
      <w:pPr>
        <w:pStyle w:val="ET"/>
      </w:pPr>
      <w:r>
        <w:t>le coût des approvisionnements ;</w:t>
      </w:r>
    </w:p>
    <w:p w14:paraId="1AAC64DF" w14:textId="77777777" w:rsidR="005D07A6" w:rsidRDefault="00F42774">
      <w:pPr>
        <w:pStyle w:val="ET"/>
      </w:pPr>
      <w:r>
        <w:t>la fiche de stock de matières (ou de marchandises) ;</w:t>
      </w:r>
    </w:p>
    <w:p w14:paraId="62A675B5" w14:textId="77777777" w:rsidR="005D07A6" w:rsidRDefault="00F42774">
      <w:pPr>
        <w:pStyle w:val="ET"/>
      </w:pPr>
      <w:r>
        <w:t>le coût de production ;</w:t>
      </w:r>
    </w:p>
    <w:p w14:paraId="26FE9186" w14:textId="77777777" w:rsidR="005D07A6" w:rsidRDefault="00F42774">
      <w:pPr>
        <w:pStyle w:val="ET"/>
      </w:pPr>
      <w:r>
        <w:t>la fiche de stock de produits finis ;</w:t>
      </w:r>
    </w:p>
    <w:p w14:paraId="0F218352" w14:textId="77777777" w:rsidR="005D07A6" w:rsidRDefault="00F42774">
      <w:pPr>
        <w:pStyle w:val="ET"/>
      </w:pPr>
      <w:r>
        <w:t>le coût de revient des produits vendus.</w:t>
      </w:r>
    </w:p>
    <w:p w14:paraId="13B798C3" w14:textId="77777777" w:rsidR="005D07A6" w:rsidRDefault="00F42774">
      <w:pPr>
        <w:pStyle w:val="debutfilet"/>
      </w:pPr>
      <w:r>
        <w:t>Methodologie</w:t>
      </w:r>
    </w:p>
    <w:p w14:paraId="056C3E9F" w14:textId="77777777" w:rsidR="005D07A6" w:rsidRDefault="00F42774">
      <w:pPr>
        <w:pStyle w:val="LibelleRubrique"/>
      </w:pPr>
      <w:r>
        <w:t>Méthodologie</w:t>
      </w:r>
    </w:p>
    <w:p w14:paraId="24AAFBB5" w14:textId="77777777" w:rsidR="005D07A6" w:rsidRDefault="00F42774">
      <w:pPr>
        <w:pStyle w:val="CT"/>
      </w:pPr>
      <w:r>
        <w:t>N’hésitez pas à dessiner un tableau pour chacune de ces étapes.</w:t>
      </w:r>
    </w:p>
    <w:p w14:paraId="4E870D18" w14:textId="77777777" w:rsidR="005D07A6" w:rsidRDefault="00F42774">
      <w:pPr>
        <w:pStyle w:val="finfilet"/>
      </w:pPr>
      <w:r>
        <w:t>Fin Methodologie</w:t>
      </w:r>
    </w:p>
    <w:p w14:paraId="2E0E305B" w14:textId="77777777" w:rsidR="005D07A6" w:rsidRDefault="00F42774">
      <w:pPr>
        <w:pStyle w:val="debutfilet"/>
      </w:pPr>
      <w:r>
        <w:t>Remarque</w:t>
      </w:r>
    </w:p>
    <w:p w14:paraId="7161D657" w14:textId="77777777" w:rsidR="005D07A6" w:rsidRDefault="00F42774">
      <w:pPr>
        <w:pStyle w:val="LibelleRubrique"/>
      </w:pPr>
      <w:r>
        <w:t>Remarque</w:t>
      </w:r>
    </w:p>
    <w:p w14:paraId="5168CC27" w14:textId="77777777" w:rsidR="005D07A6" w:rsidRDefault="00F42774">
      <w:pPr>
        <w:pStyle w:val="CT"/>
      </w:pPr>
      <w:r>
        <w:rPr>
          <w:b/>
          <w:bCs/>
        </w:rPr>
        <w:t>Ordre des calculs :</w:t>
      </w:r>
      <w:r>
        <w:t xml:space="preserve"> l’ordre des calculs ainsi présenté est toujours vrai, qu’il y ait des charges indirectes ou non. Dans les exercices les plus simples, ne comportant que des charges directes, c’est le même ordre qu’il faut respecter.</w:t>
      </w:r>
    </w:p>
    <w:p w14:paraId="3C6CDA72" w14:textId="77777777" w:rsidR="005D07A6" w:rsidRDefault="00F42774">
      <w:pPr>
        <w:pStyle w:val="finfilet"/>
      </w:pPr>
      <w:r>
        <w:t>Fin Remarque</w:t>
      </w:r>
    </w:p>
    <w:p w14:paraId="37051EEE" w14:textId="77777777" w:rsidR="005D07A6" w:rsidRDefault="00F42774">
      <w:pPr>
        <w:pStyle w:val="CTEspDessous"/>
      </w:pPr>
      <w:r>
        <w:t>Enfin, à chacune de ces étapes, puisqu’il faut calculer un coût complet, on est amené à additionner des charges directes (par définition facilement attribuables à une étape et à un produit ou service) et des charges indirectes (qu’il faut par définition répartir entre plusieurs étapes et plusieurs produits ou services). C’est cette répartition des charges indirectes qui est développée dans le chapitre suivant.</w:t>
      </w:r>
    </w:p>
    <w:p w14:paraId="5A80704B" w14:textId="77777777" w:rsidR="005D07A6" w:rsidRDefault="00F42774">
      <w:pPr>
        <w:pStyle w:val="T3"/>
      </w:pPr>
      <w:r>
        <w:t>section 4.</w:t>
      </w:r>
      <w:r>
        <w:tab/>
        <w:t>La valeur des stocks en comptabilité financière</w:t>
      </w:r>
    </w:p>
    <w:p w14:paraId="0C60D34D" w14:textId="77777777" w:rsidR="005D07A6" w:rsidRDefault="00F42774">
      <w:pPr>
        <w:pStyle w:val="CTEspDessous"/>
      </w:pPr>
      <w:r>
        <w:t xml:space="preserve">Le </w:t>
      </w:r>
      <w:r>
        <w:rPr>
          <w:b/>
          <w:bCs/>
        </w:rPr>
        <w:t>plan comptable</w:t>
      </w:r>
      <w:r>
        <w:rPr>
          <w:highlight w:val="green"/>
        </w:rPr>
        <w:fldChar w:fldCharType="begin"/>
      </w:r>
      <w:r>
        <w:rPr>
          <w:highlight w:val="green"/>
        </w:rPr>
        <w:instrText xml:space="preserve"> XE "</w:instrText>
      </w:r>
      <w:r>
        <w:rPr>
          <w:noProof/>
          <w:highlight w:val="green"/>
        </w:rPr>
        <w:instrText>Plan comptable</w:instrText>
      </w:r>
      <w:r>
        <w:rPr>
          <w:highlight w:val="green"/>
        </w:rPr>
        <w:instrText xml:space="preserve">" </w:instrText>
      </w:r>
      <w:r>
        <w:rPr>
          <w:highlight w:val="green"/>
        </w:rPr>
        <w:fldChar w:fldCharType="end"/>
      </w:r>
      <w:r>
        <w:t xml:space="preserve"> apporte les précisions suivantes :</w:t>
      </w:r>
    </w:p>
    <w:p w14:paraId="7996F395" w14:textId="77777777" w:rsidR="005D07A6" w:rsidRDefault="00F42774">
      <w:pPr>
        <w:pStyle w:val="debutfilet"/>
      </w:pPr>
      <w:r>
        <w:t>Citation</w:t>
      </w:r>
    </w:p>
    <w:p w14:paraId="2F0B8754" w14:textId="77777777" w:rsidR="005D07A6" w:rsidRDefault="00F42774">
      <w:pPr>
        <w:pStyle w:val="TitreRubrique"/>
      </w:pPr>
      <w:r>
        <w:t>Article 321-19 : Coût d’entrée des stocks</w:t>
      </w:r>
    </w:p>
    <w:p w14:paraId="68536014" w14:textId="77777777" w:rsidR="005D07A6" w:rsidRDefault="00F42774">
      <w:pPr>
        <w:pStyle w:val="CT"/>
      </w:pPr>
      <w:r>
        <w:t>« Le coût des stocks doit comprendre tous les coûts d’acquisition, de transformation et autres coûts encourus pour amener les stocks à l’endroit et dans l’état où ils se trouvent.</w:t>
      </w:r>
    </w:p>
    <w:p w14:paraId="6199D2CE" w14:textId="77777777" w:rsidR="005D07A6" w:rsidRDefault="00F42774">
      <w:pPr>
        <w:pStyle w:val="CT"/>
      </w:pPr>
      <w:r>
        <w:t>Les pertes et gaspillages sont exclus des coûts.</w:t>
      </w:r>
    </w:p>
    <w:p w14:paraId="6539061F" w14:textId="77777777" w:rsidR="005D07A6" w:rsidRDefault="00F42774">
      <w:pPr>
        <w:pStyle w:val="CT"/>
      </w:pPr>
      <w:r>
        <w:t>Les coûts d’emprunt peuvent être inclus dans le coût des stocks selon les dispositions prévues à l’article 321-5. »</w:t>
      </w:r>
    </w:p>
    <w:p w14:paraId="57ACB292" w14:textId="77777777" w:rsidR="005D07A6" w:rsidRDefault="00F42774">
      <w:pPr>
        <w:pStyle w:val="finfilet"/>
      </w:pPr>
      <w:r>
        <w:t>Fin Citation</w:t>
      </w:r>
    </w:p>
    <w:p w14:paraId="174B66AE" w14:textId="77777777" w:rsidR="005D07A6" w:rsidRDefault="00F42774">
      <w:pPr>
        <w:pStyle w:val="debutfilet"/>
      </w:pPr>
      <w:r>
        <w:t>Citation</w:t>
      </w:r>
    </w:p>
    <w:p w14:paraId="42AEDA4E" w14:textId="77777777" w:rsidR="005D07A6" w:rsidRDefault="00F42774">
      <w:pPr>
        <w:pStyle w:val="TitreRubrique"/>
      </w:pPr>
      <w:r>
        <w:t>Article 321-20 : Coût d’acquisition des stocks</w:t>
      </w:r>
    </w:p>
    <w:p w14:paraId="48F9CBE9" w14:textId="77777777" w:rsidR="005D07A6" w:rsidRDefault="00F42774">
      <w:pPr>
        <w:pStyle w:val="CT"/>
      </w:pPr>
      <w:r>
        <w:t>« Le coût d’acquisition des stocks est constitué du :</w:t>
      </w:r>
    </w:p>
    <w:p w14:paraId="321080DD" w14:textId="77777777" w:rsidR="005D07A6" w:rsidRDefault="00F42774">
      <w:pPr>
        <w:pStyle w:val="ET"/>
      </w:pPr>
      <w:r>
        <w:lastRenderedPageBreak/>
        <w:t>prix d’achat, y compris les droits de douane et autres taxes non récupérables, après déduction des rabais commerciaux, remises, escomptes de règlement et autres éléments similaires ;</w:t>
      </w:r>
    </w:p>
    <w:p w14:paraId="3E2C623F" w14:textId="77777777" w:rsidR="005D07A6" w:rsidRDefault="00F42774">
      <w:pPr>
        <w:pStyle w:val="ET"/>
      </w:pPr>
      <w:r>
        <w:t>ainsi que des frais de transport, de manutention et autres coûts directement attribuables à l’acquisition des produits finis, des matières premières et des services.</w:t>
      </w:r>
    </w:p>
    <w:p w14:paraId="47C1DB0F" w14:textId="77777777" w:rsidR="005D07A6" w:rsidRDefault="00F42774">
      <w:pPr>
        <w:pStyle w:val="CT"/>
      </w:pPr>
      <w:r>
        <w:t>Les coûts administratifs sont exclus du coût de production et d’acquisition à l’exclusion des coûts des structures dédiées. »</w:t>
      </w:r>
    </w:p>
    <w:p w14:paraId="72FDB5EC" w14:textId="77777777" w:rsidR="005D07A6" w:rsidRDefault="00F42774">
      <w:pPr>
        <w:pStyle w:val="finfilet"/>
      </w:pPr>
      <w:r>
        <w:t>Fin Citation</w:t>
      </w:r>
    </w:p>
    <w:p w14:paraId="0A391905" w14:textId="77777777" w:rsidR="005D07A6" w:rsidRDefault="00F42774">
      <w:pPr>
        <w:pStyle w:val="CTEspDessous"/>
      </w:pPr>
      <w:r>
        <w:t>Autrement dit, le plan comptable précise explicitement que les stocks de matières ou de marchandises doivent être valorisés à leur coût complet (y compris les coûts d’acquisition, de transport, etc.). Cependant, les coûts administratifs doivent être exclus. C’est la raison pour laquelle les centres de responsabilité dénommés « administration » doivent être étudiés au cas par cas. S’ils ne regroupent que des charges « administratives », ils ne doivent pas être intégrés dans le coût des stocks (et donc ne peuvent être considérés comme des centres auxiliaires).</w:t>
      </w:r>
    </w:p>
    <w:p w14:paraId="4B819913" w14:textId="77777777" w:rsidR="005D07A6" w:rsidRDefault="00F42774">
      <w:pPr>
        <w:pStyle w:val="T2"/>
      </w:pPr>
      <w:r>
        <w:t>Chapitre 2.</w:t>
      </w:r>
      <w:r>
        <w:tab/>
        <w:t>Le traitement des charges indirectes</w:t>
      </w:r>
    </w:p>
    <w:p w14:paraId="45DA59F3" w14:textId="77777777" w:rsidR="005D07A6" w:rsidRDefault="00F42774">
      <w:pPr>
        <w:pStyle w:val="debutfilet"/>
      </w:pPr>
      <w:r>
        <w:t>Competences_attendues</w:t>
      </w:r>
    </w:p>
    <w:p w14:paraId="64B99644" w14:textId="77777777" w:rsidR="005D07A6" w:rsidRDefault="00F42774">
      <w:pPr>
        <w:pStyle w:val="ET"/>
      </w:pPr>
      <w:r>
        <w:t>Identifier les coûts, marges et résultats à calculer.</w:t>
      </w:r>
    </w:p>
    <w:p w14:paraId="3EC6AA7C" w14:textId="77777777" w:rsidR="005D07A6" w:rsidRDefault="00F42774">
      <w:pPr>
        <w:pStyle w:val="finfilet"/>
      </w:pPr>
      <w:r>
        <w:t>Fin Competences_attendues</w:t>
      </w:r>
    </w:p>
    <w:p w14:paraId="66873395" w14:textId="77777777" w:rsidR="005D07A6" w:rsidRDefault="00F42774">
      <w:pPr>
        <w:pStyle w:val="T3"/>
      </w:pPr>
      <w:r>
        <w:t>section 1.</w:t>
      </w:r>
      <w:r>
        <w:tab/>
        <w:t>Le schéma général</w:t>
      </w:r>
    </w:p>
    <w:p w14:paraId="6BD2C17B" w14:textId="77777777" w:rsidR="005D07A6" w:rsidRDefault="00F42774">
      <w:pPr>
        <w:pStyle w:val="CT"/>
      </w:pPr>
      <w:r>
        <w:t xml:space="preserve">La méthode repose essentiellement sur la différence de traitement entre les charges directes et les charges indirectes. Les </w:t>
      </w:r>
      <w:r>
        <w:rPr>
          <w:b/>
          <w:bCs/>
        </w:rPr>
        <w:t>charges directes</w:t>
      </w:r>
      <w:r>
        <w:rPr>
          <w:highlight w:val="green"/>
        </w:rPr>
        <w:fldChar w:fldCharType="begin"/>
      </w:r>
      <w:r>
        <w:rPr>
          <w:highlight w:val="green"/>
        </w:rPr>
        <w:instrText xml:space="preserve"> XE "</w:instrText>
      </w:r>
      <w:r>
        <w:rPr>
          <w:noProof/>
          <w:highlight w:val="green"/>
        </w:rPr>
        <w:instrText>Charge</w:instrText>
      </w:r>
      <w:r>
        <w:rPr>
          <w:highlight w:val="green"/>
        </w:rPr>
        <w:instrText>:</w:instrText>
      </w:r>
      <w:r>
        <w:rPr>
          <w:noProof/>
          <w:highlight w:val="green"/>
        </w:rPr>
        <w:instrText>– directe</w:instrText>
      </w:r>
      <w:r>
        <w:rPr>
          <w:highlight w:val="green"/>
        </w:rPr>
        <w:instrText xml:space="preserve">" </w:instrText>
      </w:r>
      <w:r>
        <w:rPr>
          <w:highlight w:val="green"/>
        </w:rPr>
        <w:fldChar w:fldCharType="end"/>
      </w:r>
      <w:r>
        <w:t xml:space="preserve"> ne posent généralement pas de problème : elles peuvent facilement être « affectées » aux coûts. Les charges indirectes</w:t>
      </w:r>
      <w:r>
        <w:rPr>
          <w:highlight w:val="green"/>
        </w:rPr>
        <w:fldChar w:fldCharType="begin"/>
      </w:r>
      <w:r>
        <w:rPr>
          <w:highlight w:val="green"/>
        </w:rPr>
        <w:instrText xml:space="preserve"> XE "</w:instrText>
      </w:r>
      <w:r>
        <w:rPr>
          <w:noProof/>
          <w:highlight w:val="green"/>
        </w:rPr>
        <w:instrText>Charge</w:instrText>
      </w:r>
      <w:r>
        <w:rPr>
          <w:highlight w:val="green"/>
        </w:rPr>
        <w:instrText>:</w:instrText>
      </w:r>
      <w:r>
        <w:rPr>
          <w:noProof/>
          <w:highlight w:val="green"/>
        </w:rPr>
        <w:instrText>– indirecte</w:instrText>
      </w:r>
      <w:r>
        <w:rPr>
          <w:highlight w:val="green"/>
        </w:rPr>
        <w:instrText xml:space="preserve">" </w:instrText>
      </w:r>
      <w:r>
        <w:rPr>
          <w:highlight w:val="green"/>
        </w:rPr>
        <w:fldChar w:fldCharType="end"/>
      </w:r>
      <w:r>
        <w:t xml:space="preserve"> sont plus difficiles à traiter : elles doivent d’abord être « réparties » sur des « </w:t>
      </w:r>
      <w:r>
        <w:rPr>
          <w:b/>
          <w:bCs/>
        </w:rPr>
        <w:t>centres d’analyse</w:t>
      </w:r>
      <w:r>
        <w:rPr>
          <w:highlight w:val="green"/>
        </w:rPr>
        <w:fldChar w:fldCharType="begin"/>
      </w:r>
      <w:r>
        <w:rPr>
          <w:highlight w:val="green"/>
        </w:rPr>
        <w:instrText xml:space="preserve"> XE "</w:instrText>
      </w:r>
      <w:r>
        <w:rPr>
          <w:noProof/>
          <w:highlight w:val="green"/>
        </w:rPr>
        <w:instrText>Centre</w:instrText>
      </w:r>
      <w:r>
        <w:rPr>
          <w:highlight w:val="green"/>
        </w:rPr>
        <w:instrText>:</w:instrText>
      </w:r>
      <w:r>
        <w:rPr>
          <w:noProof/>
          <w:highlight w:val="green"/>
        </w:rPr>
        <w:instrText>– d’analyse</w:instrText>
      </w:r>
      <w:r>
        <w:rPr>
          <w:highlight w:val="green"/>
        </w:rPr>
        <w:instrText xml:space="preserve">" </w:instrText>
      </w:r>
      <w:r>
        <w:rPr>
          <w:highlight w:val="green"/>
        </w:rPr>
        <w:fldChar w:fldCharType="end"/>
      </w:r>
      <w:r>
        <w:t> », avant d’être « imputées » aux coûts.</w:t>
      </w:r>
    </w:p>
    <w:p w14:paraId="0F556A2C" w14:textId="77777777" w:rsidR="005D07A6" w:rsidRDefault="00F42774">
      <w:pPr>
        <w:pStyle w:val="CT"/>
        <w:jc w:val="center"/>
      </w:pPr>
      <w:r>
        <w:rPr>
          <w:noProof/>
        </w:rPr>
        <w:drawing>
          <wp:inline distT="0" distB="0" distL="0" distR="0" wp14:anchorId="5F8C8DAD" wp14:editId="2E24175E">
            <wp:extent cx="4615072" cy="1353429"/>
            <wp:effectExtent l="0" t="0" r="0" b="0"/>
            <wp:docPr id="17" name="Image 17" descr="Pas de visualisation pour [UE202526_433_S1_fichiers/UE121S1_007.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as de visualisation pour [UE202526_433_S1_fichiers/UE121S1_007.png] !"/>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615072" cy="1353429"/>
                    </a:xfrm>
                    <a:prstGeom prst="rect">
                      <a:avLst/>
                    </a:prstGeom>
                    <a:noFill/>
                    <a:ln>
                      <a:noFill/>
                    </a:ln>
                  </pic:spPr>
                </pic:pic>
              </a:graphicData>
            </a:graphic>
          </wp:inline>
        </w:drawing>
      </w:r>
      <w:r>
        <w:t>&lt;image&gt;UE121S1_007.png&lt;/image&gt;</w:t>
      </w:r>
    </w:p>
    <w:p w14:paraId="5AD6CF68" w14:textId="77777777" w:rsidR="005D07A6" w:rsidRDefault="00F42774">
      <w:pPr>
        <w:pStyle w:val="debutfilet"/>
      </w:pPr>
      <w:r>
        <w:t>Attention</w:t>
      </w:r>
    </w:p>
    <w:p w14:paraId="7DDFB62C" w14:textId="77777777" w:rsidR="005D07A6" w:rsidRDefault="00F42774">
      <w:pPr>
        <w:pStyle w:val="LibelleRubrique"/>
      </w:pPr>
      <w:r>
        <w:t>Attention</w:t>
      </w:r>
    </w:p>
    <w:p w14:paraId="0A5CBDAF" w14:textId="77777777" w:rsidR="005D07A6" w:rsidRDefault="00F42774">
      <w:pPr>
        <w:pStyle w:val="CT"/>
      </w:pPr>
      <w:r>
        <w:t>On parle d’</w:t>
      </w:r>
      <w:r>
        <w:rPr>
          <w:b/>
          <w:bCs/>
        </w:rPr>
        <w:t>affectation</w:t>
      </w:r>
      <w:r>
        <w:t xml:space="preserve"> pour les charges directes, d’</w:t>
      </w:r>
      <w:r>
        <w:rPr>
          <w:b/>
          <w:bCs/>
        </w:rPr>
        <w:t>imputation</w:t>
      </w:r>
      <w:r>
        <w:t xml:space="preserve"> et de </w:t>
      </w:r>
      <w:r>
        <w:rPr>
          <w:b/>
          <w:bCs/>
        </w:rPr>
        <w:t>répartition</w:t>
      </w:r>
      <w:r>
        <w:t xml:space="preserve"> pour les charges indirectes.</w:t>
      </w:r>
    </w:p>
    <w:p w14:paraId="22E59441" w14:textId="77777777" w:rsidR="005D07A6" w:rsidRDefault="00F42774">
      <w:pPr>
        <w:pStyle w:val="finfilet"/>
      </w:pPr>
      <w:r>
        <w:t>Fin Attention</w:t>
      </w:r>
    </w:p>
    <w:p w14:paraId="5C75457F" w14:textId="77777777" w:rsidR="005D07A6" w:rsidRDefault="00F42774">
      <w:pPr>
        <w:pStyle w:val="CTEspDessous"/>
      </w:pPr>
      <w:r>
        <w:t>L’</w:t>
      </w:r>
      <w:r>
        <w:rPr>
          <w:b/>
          <w:bCs/>
        </w:rPr>
        <w:t>affectation</w:t>
      </w:r>
      <w:r>
        <w:rPr>
          <w:highlight w:val="green"/>
        </w:rPr>
        <w:fldChar w:fldCharType="begin"/>
      </w:r>
      <w:r>
        <w:rPr>
          <w:highlight w:val="green"/>
        </w:rPr>
        <w:instrText xml:space="preserve"> XE "</w:instrText>
      </w:r>
      <w:r>
        <w:rPr>
          <w:noProof/>
          <w:highlight w:val="green"/>
        </w:rPr>
        <w:instrText>Affectation</w:instrText>
      </w:r>
      <w:r>
        <w:rPr>
          <w:highlight w:val="green"/>
        </w:rPr>
        <w:instrText xml:space="preserve">" </w:instrText>
      </w:r>
      <w:r>
        <w:rPr>
          <w:highlight w:val="green"/>
        </w:rPr>
        <w:fldChar w:fldCharType="end"/>
      </w:r>
      <w:r>
        <w:t xml:space="preserve"> des charges directes est conceptuellement facile mais suppose en pratique toute une organisation administrative en amont de la comptabilité pour disposer des informations.</w:t>
      </w:r>
    </w:p>
    <w:p w14:paraId="19F808B5" w14:textId="77777777" w:rsidR="005D07A6" w:rsidRDefault="00F42774">
      <w:pPr>
        <w:pStyle w:val="CTEspDessous"/>
      </w:pPr>
      <w:r>
        <w:t xml:space="preserve">Pour la main-d’œuvre directe, par exemple, il faut que le responsable de l’atelier remplisse quotidiennement un bordereau récapitulatif des heures de travail affectées à telle ou telle production. Des « bons de travail », signés par le contremaître, servent, d’une part, après avoir été triés par ouvrier, à préparer la paie (en comptabilité financière) </w:t>
      </w:r>
      <w:r>
        <w:lastRenderedPageBreak/>
        <w:t>et, d’autre part, à calculer le coût des produits (en comptabilité de gestion). Un tel système peut fonctionner avec des appellations différentes dans des contextes plus sophistiqués, avec une « main-d’œuvre » beaucoup plus qualifiée : ainsi, dans un cabinet d’audit, il faut bien avoir un relevé des temps passés par les collaborateurs sur les différents dossiers pour pouvoir facturer les clients, ou analyser la rentabilité des différents types de missions ! Il est évident que, si ces relevés de temps sont fantaisistes, les calculs de coûts réalisés en aval n’auront aucune pertinence.</w:t>
      </w:r>
    </w:p>
    <w:p w14:paraId="5B72CCFC" w14:textId="77777777" w:rsidR="005D07A6" w:rsidRDefault="00F42774">
      <w:pPr>
        <w:pStyle w:val="CTEspDessous"/>
      </w:pPr>
      <w:r>
        <w:t>Pour les matières premières, il faut également toute une organisation administrative en amont. Par exemple, dans le bâtiment, les matières premières sont livrées sur différents chantiers (du ciment venant d’une centrale à béton par camions toupies, par exemple), ce qui oblige à bien distinguer adresse de livraison (le chantier concerné) et adresse de facturation (l’entité juridique cliente). Dans une usine, les matières qui sortent d’un entrepôt font l’objet d’un « bon de sortie », qui permet à la fois de gérer le stock, de décharger le magasinier de sa responsabilité et d’affecter la charge au bon produit.</w:t>
      </w:r>
    </w:p>
    <w:p w14:paraId="5E2ED974" w14:textId="77777777" w:rsidR="005D07A6" w:rsidRDefault="00F42774">
      <w:pPr>
        <w:pStyle w:val="CTEspDessous"/>
      </w:pPr>
      <w:r>
        <w:t>L’</w:t>
      </w:r>
      <w:r>
        <w:rPr>
          <w:b/>
          <w:bCs/>
        </w:rPr>
        <w:t>imputation</w:t>
      </w:r>
      <w:r>
        <w:rPr>
          <w:highlight w:val="green"/>
        </w:rPr>
        <w:fldChar w:fldCharType="begin"/>
      </w:r>
      <w:r>
        <w:rPr>
          <w:highlight w:val="green"/>
        </w:rPr>
        <w:instrText xml:space="preserve"> XE "</w:instrText>
      </w:r>
      <w:r>
        <w:rPr>
          <w:noProof/>
          <w:highlight w:val="green"/>
        </w:rPr>
        <w:instrText>Imputation</w:instrText>
      </w:r>
      <w:r>
        <w:rPr>
          <w:highlight w:val="green"/>
        </w:rPr>
        <w:instrText xml:space="preserve">" </w:instrText>
      </w:r>
      <w:r>
        <w:rPr>
          <w:highlight w:val="green"/>
        </w:rPr>
        <w:fldChar w:fldCharType="end"/>
      </w:r>
      <w:r>
        <w:t xml:space="preserve"> des charges indirectes nécessite, quant à elle, un traitement spécifique. Le développement qui suit présente le traitement préconisé par le PCG (jusqu’en 1982) et appelé </w:t>
      </w:r>
      <w:r>
        <w:rPr>
          <w:b/>
          <w:bCs/>
        </w:rPr>
        <w:t>méthode des centres d’analyse</w:t>
      </w:r>
      <w:r>
        <w:t xml:space="preserve"> ou </w:t>
      </w:r>
      <w:r>
        <w:rPr>
          <w:b/>
          <w:bCs/>
        </w:rPr>
        <w:t>méthode des sections homogènes</w:t>
      </w:r>
      <w:r>
        <w:rPr>
          <w:highlight w:val="green"/>
        </w:rPr>
        <w:fldChar w:fldCharType="begin"/>
      </w:r>
      <w:r>
        <w:rPr>
          <w:highlight w:val="green"/>
        </w:rPr>
        <w:instrText xml:space="preserve"> XE "</w:instrText>
      </w:r>
      <w:r>
        <w:rPr>
          <w:noProof/>
          <w:highlight w:val="green"/>
        </w:rPr>
        <w:instrText>Section homogène</w:instrText>
      </w:r>
      <w:r>
        <w:rPr>
          <w:highlight w:val="green"/>
        </w:rPr>
        <w:instrText xml:space="preserve">" </w:instrText>
      </w:r>
      <w:r>
        <w:rPr>
          <w:highlight w:val="green"/>
        </w:rPr>
        <w:fldChar w:fldCharType="end"/>
      </w:r>
      <w:r>
        <w:t xml:space="preserve">. C’est un traitement développé dans le cadre des entreprises industrielles du début du </w:t>
      </w:r>
      <w:r>
        <w:rPr>
          <w:smallCaps/>
        </w:rPr>
        <w:t>xx</w:t>
      </w:r>
      <w:r>
        <w:rPr>
          <w:vertAlign w:val="superscript"/>
        </w:rPr>
        <w:t>e</w:t>
      </w:r>
      <w:r>
        <w:t> siècle qui a pour vocation à être généralisé et appliqué à toutes les entreprises françaises, quelle que soit leur activité. D’autres traitements sont possibles, notamment la méthode ABC qui sera présentée ultérieurement.</w:t>
      </w:r>
    </w:p>
    <w:p w14:paraId="46592549" w14:textId="77777777" w:rsidR="005D07A6" w:rsidRDefault="00F42774">
      <w:pPr>
        <w:pStyle w:val="T3"/>
      </w:pPr>
      <w:r>
        <w:t>section 2.</w:t>
      </w:r>
      <w:r>
        <w:tab/>
        <w:t>Les centres d’analyse</w:t>
      </w:r>
    </w:p>
    <w:p w14:paraId="64F83BCE" w14:textId="77777777" w:rsidR="005D07A6" w:rsidRDefault="00F42774">
      <w:pPr>
        <w:pStyle w:val="CTEspDessous"/>
      </w:pPr>
      <w:r>
        <w:t xml:space="preserve">Pour traiter les </w:t>
      </w:r>
      <w:r>
        <w:rPr>
          <w:b/>
          <w:bCs/>
        </w:rPr>
        <w:t>charges indirectes</w:t>
      </w:r>
      <w:r>
        <w:rPr>
          <w:highlight w:val="green"/>
        </w:rPr>
        <w:fldChar w:fldCharType="begin"/>
      </w:r>
      <w:r>
        <w:rPr>
          <w:highlight w:val="green"/>
        </w:rPr>
        <w:instrText xml:space="preserve"> XE "</w:instrText>
      </w:r>
      <w:r>
        <w:rPr>
          <w:noProof/>
          <w:highlight w:val="green"/>
        </w:rPr>
        <w:instrText>Charge</w:instrText>
      </w:r>
      <w:r>
        <w:rPr>
          <w:highlight w:val="green"/>
        </w:rPr>
        <w:instrText>:</w:instrText>
      </w:r>
      <w:r>
        <w:rPr>
          <w:noProof/>
          <w:highlight w:val="green"/>
        </w:rPr>
        <w:instrText>– indirecte</w:instrText>
      </w:r>
      <w:r>
        <w:rPr>
          <w:highlight w:val="green"/>
        </w:rPr>
        <w:instrText xml:space="preserve">" </w:instrText>
      </w:r>
      <w:r>
        <w:rPr>
          <w:highlight w:val="green"/>
        </w:rPr>
        <w:fldChar w:fldCharType="end"/>
      </w:r>
      <w:r>
        <w:t xml:space="preserve">, il faut partir d’une analyse de l’activité technique de l’entreprise, c’est-à-dire qu’il faut comprendre le </w:t>
      </w:r>
      <w:r>
        <w:rPr>
          <w:b/>
          <w:bCs/>
          <w:i/>
          <w:iCs/>
        </w:rPr>
        <w:t>process</w:t>
      </w:r>
      <w:r>
        <w:rPr>
          <w:highlight w:val="green"/>
        </w:rPr>
        <w:fldChar w:fldCharType="begin"/>
      </w:r>
      <w:r>
        <w:rPr>
          <w:highlight w:val="green"/>
        </w:rPr>
        <w:instrText xml:space="preserve"> XE "</w:instrText>
      </w:r>
      <w:r>
        <w:rPr>
          <w:noProof/>
          <w:highlight w:val="green"/>
        </w:rPr>
        <w:instrText>Process</w:instrText>
      </w:r>
      <w:r>
        <w:rPr>
          <w:highlight w:val="green"/>
        </w:rPr>
        <w:instrText xml:space="preserve">" </w:instrText>
      </w:r>
      <w:r>
        <w:rPr>
          <w:highlight w:val="green"/>
        </w:rPr>
        <w:fldChar w:fldCharType="end"/>
      </w:r>
      <w:r>
        <w:t>, les différentes phases du processus de production. Par exemple, dans une fabrique de meubles, il faut scier les pièces, les assembler, puis peindre ou vernir les meubles, les livrer aux clients, etc.</w:t>
      </w:r>
    </w:p>
    <w:p w14:paraId="221B4952" w14:textId="77777777" w:rsidR="005D07A6" w:rsidRDefault="00F42774">
      <w:pPr>
        <w:pStyle w:val="CTEspDessous"/>
      </w:pPr>
      <w:r>
        <w:t xml:space="preserve">L’activité est découpée en </w:t>
      </w:r>
      <w:r>
        <w:rPr>
          <w:b/>
          <w:bCs/>
        </w:rPr>
        <w:t>centres d’analyse</w:t>
      </w:r>
      <w:r>
        <w:rPr>
          <w:highlight w:val="green"/>
        </w:rPr>
        <w:fldChar w:fldCharType="begin"/>
      </w:r>
      <w:r>
        <w:rPr>
          <w:highlight w:val="green"/>
        </w:rPr>
        <w:instrText xml:space="preserve"> XE "</w:instrText>
      </w:r>
      <w:r>
        <w:rPr>
          <w:noProof/>
          <w:highlight w:val="green"/>
        </w:rPr>
        <w:instrText>Centre</w:instrText>
      </w:r>
      <w:r>
        <w:rPr>
          <w:highlight w:val="green"/>
        </w:rPr>
        <w:instrText>:</w:instrText>
      </w:r>
      <w:r>
        <w:rPr>
          <w:noProof/>
          <w:highlight w:val="green"/>
        </w:rPr>
        <w:instrText>– d’analyse</w:instrText>
      </w:r>
      <w:r>
        <w:rPr>
          <w:highlight w:val="green"/>
        </w:rPr>
        <w:instrText xml:space="preserve">" </w:instrText>
      </w:r>
      <w:r>
        <w:rPr>
          <w:highlight w:val="green"/>
        </w:rPr>
        <w:fldChar w:fldCharType="end"/>
      </w:r>
      <w:r>
        <w:t>, chaque centre étant caractérisé par une opération bien identifiée. Le plus souvent, ce découpage correspond à l’organisation fonctionnelle de l’entreprise, aux différents ateliers et services qui apparaissent dans l’organigramme. Dans notre exemple, il y aura vraisemblablement un atelier « sciage », un atelier « assemblage », un atelier « peinture », etc. Très souvent, ce découpage « géographique » est dans l’ordre des choses, chaque opération exigeant un environnement spécifique. On peut difficilement scier et peindre dans le même atelier.</w:t>
      </w:r>
    </w:p>
    <w:p w14:paraId="0BD88F75" w14:textId="77777777" w:rsidR="005D07A6" w:rsidRDefault="00F42774">
      <w:pPr>
        <w:pStyle w:val="CTEspDessous"/>
      </w:pPr>
      <w:r>
        <w:t xml:space="preserve">Il est indispensable que ces centres soient </w:t>
      </w:r>
      <w:r>
        <w:rPr>
          <w:b/>
          <w:bCs/>
        </w:rPr>
        <w:t>homogènes</w:t>
      </w:r>
      <w:r>
        <w:rPr>
          <w:highlight w:val="green"/>
        </w:rPr>
        <w:fldChar w:fldCharType="begin"/>
      </w:r>
      <w:r>
        <w:rPr>
          <w:highlight w:val="green"/>
        </w:rPr>
        <w:instrText xml:space="preserve"> XE "</w:instrText>
      </w:r>
      <w:r>
        <w:rPr>
          <w:noProof/>
          <w:highlight w:val="green"/>
        </w:rPr>
        <w:instrText>Centre</w:instrText>
      </w:r>
      <w:r>
        <w:rPr>
          <w:highlight w:val="green"/>
        </w:rPr>
        <w:instrText>:</w:instrText>
      </w:r>
      <w:r>
        <w:rPr>
          <w:noProof/>
          <w:highlight w:val="green"/>
        </w:rPr>
        <w:instrText>– homogène</w:instrText>
      </w:r>
      <w:r>
        <w:rPr>
          <w:highlight w:val="green"/>
        </w:rPr>
        <w:instrText xml:space="preserve">" </w:instrText>
      </w:r>
      <w:r>
        <w:rPr>
          <w:highlight w:val="green"/>
        </w:rPr>
        <w:fldChar w:fldCharType="end"/>
      </w:r>
      <w:r>
        <w:t>, c’est-à-dire que l’on effectue une seule activité dans chaque centre, que l’on utilise une seule technologie. Si, dans un atelier, on effectue deux tâches distinctes, il faut définir deux centres d’analyse, deux « sections ». Sinon, les calculs d’imputation risquent de ne pas être pertinents.</w:t>
      </w:r>
    </w:p>
    <w:p w14:paraId="0E04259E" w14:textId="77777777" w:rsidR="005D07A6" w:rsidRDefault="00F42774">
      <w:pPr>
        <w:pStyle w:val="CTEspDessous"/>
      </w:pPr>
      <w:r>
        <w:t>L’activité est toujours plus ou moins hétérogène, et on est obligé de faire des regroupements, sinon nous aurions une infinité de centres d’analyse et un système beaucoup trop compliqué, très coûteux (on multiplie les calculs) et, au bout du compte, pas très utile (une « usine à gaz »). Ce regroupement est notamment légitime quand les différentes opérations sont mobilisées de façon proportionnelle pour les différents produits (si, par exemple, dans l’atelier peinture, on enduit avant de peindre, mais que le temps passé à enduire est proportionnel au temps passé à peindre, il y a bien deux activités, mais que l’on peut regrouper par simplification), ou quand les sommes en jeu sont modestes.</w:t>
      </w:r>
    </w:p>
    <w:p w14:paraId="5023D505" w14:textId="77777777" w:rsidR="005D07A6" w:rsidRDefault="00F42774">
      <w:pPr>
        <w:pStyle w:val="CTEspDessous"/>
      </w:pPr>
      <w:r>
        <w:lastRenderedPageBreak/>
        <w:t>Il faut bien comprendre que, dans ce « modèle de base », par simplification pédagogique, on calque le découpage analytique par centres sur l’organisation hiérarchique en services ou ateliers, pour présenter un exemple facilement compréhensible : on prend comme exemple de centre l’atelier X ou le service Y. Ceci explique que ce modèle de base est souvent présenté comme la « méthode des centres de responsabilité », ou la « méthode traditionnelle », par opposition à la méthode ABC, par exemple, qui propose un autre découpage. Mais ce n’est qu’un exemple et le découpage par centres de responsabilité n’est évidemment pertinent que si la condition d’homogénéité est respectée. Mais ça ne veut pas dire que la méthode de base est « mauvaise » ou « moins bonne » qu’une autre. Simplement, elle n’est pertinente, si on veut l’appliquer telle quelle, que dans des cas particuliers.</w:t>
      </w:r>
    </w:p>
    <w:p w14:paraId="09B00A9E" w14:textId="77777777" w:rsidR="005D07A6" w:rsidRDefault="00F42774">
      <w:pPr>
        <w:pStyle w:val="CTEspDessous"/>
      </w:pPr>
      <w:r>
        <w:t xml:space="preserve">Les </w:t>
      </w:r>
      <w:r>
        <w:rPr>
          <w:b/>
          <w:bCs/>
        </w:rPr>
        <w:t>charges indirectes</w:t>
      </w:r>
      <w:r>
        <w:rPr>
          <w:highlight w:val="green"/>
        </w:rPr>
        <w:fldChar w:fldCharType="begin"/>
      </w:r>
      <w:r>
        <w:rPr>
          <w:highlight w:val="green"/>
        </w:rPr>
        <w:instrText xml:space="preserve"> XE "</w:instrText>
      </w:r>
      <w:r>
        <w:rPr>
          <w:noProof/>
          <w:highlight w:val="green"/>
        </w:rPr>
        <w:instrText>Charge</w:instrText>
      </w:r>
      <w:r>
        <w:rPr>
          <w:highlight w:val="green"/>
        </w:rPr>
        <w:instrText>:</w:instrText>
      </w:r>
      <w:r>
        <w:rPr>
          <w:noProof/>
          <w:highlight w:val="green"/>
        </w:rPr>
        <w:instrText>– indirecte</w:instrText>
      </w:r>
      <w:r>
        <w:rPr>
          <w:highlight w:val="green"/>
        </w:rPr>
        <w:instrText xml:space="preserve">" </w:instrText>
      </w:r>
      <w:r>
        <w:rPr>
          <w:highlight w:val="green"/>
        </w:rPr>
        <w:fldChar w:fldCharType="end"/>
      </w:r>
      <w:r>
        <w:t xml:space="preserve"> sont donc réparties par centres et ces derniers doivent être homogènes. Dans certains cas, cette répartition ne pose pas de problèmes (par exemple, pour les charges de personnel, on sait qui travaille dans tel service ou tel atelier). Dans d’autres cas, il faut utiliser une </w:t>
      </w:r>
      <w:r>
        <w:rPr>
          <w:b/>
          <w:bCs/>
        </w:rPr>
        <w:t>clé de répartition</w:t>
      </w:r>
      <w:r>
        <w:rPr>
          <w:highlight w:val="green"/>
        </w:rPr>
        <w:fldChar w:fldCharType="begin"/>
      </w:r>
      <w:r>
        <w:rPr>
          <w:highlight w:val="green"/>
        </w:rPr>
        <w:instrText xml:space="preserve"> XE "</w:instrText>
      </w:r>
      <w:r>
        <w:rPr>
          <w:noProof/>
          <w:highlight w:val="green"/>
        </w:rPr>
        <w:instrText>Clé de répartition</w:instrText>
      </w:r>
      <w:r>
        <w:rPr>
          <w:highlight w:val="green"/>
        </w:rPr>
        <w:instrText xml:space="preserve">" </w:instrText>
      </w:r>
      <w:r>
        <w:rPr>
          <w:highlight w:val="green"/>
        </w:rPr>
        <w:fldChar w:fldCharType="end"/>
      </w:r>
      <w:r>
        <w:t xml:space="preserve"> qui peut être plus ou moins arbitraire. Supposons, par exemple, que les locaux occupés par l’entreprise soient loués : le loyer global peut être réparti en fonction des mètres carrés utilisés par chaque service.</w:t>
      </w:r>
    </w:p>
    <w:p w14:paraId="41941528" w14:textId="77777777" w:rsidR="005D07A6" w:rsidRDefault="00F42774">
      <w:pPr>
        <w:pStyle w:val="CTEspDessous"/>
      </w:pPr>
      <w:r>
        <w:t xml:space="preserve">Généralement, cette répartition doit se faire en deux étapes : </w:t>
      </w:r>
      <w:r>
        <w:rPr>
          <w:b/>
          <w:bCs/>
        </w:rPr>
        <w:t>répartition « primaire »</w:t>
      </w:r>
      <w:r>
        <w:rPr>
          <w:b/>
          <w:bCs/>
          <w:highlight w:val="green"/>
        </w:rPr>
        <w:fldChar w:fldCharType="begin"/>
      </w:r>
      <w:r>
        <w:rPr>
          <w:b/>
          <w:bCs/>
          <w:highlight w:val="green"/>
        </w:rPr>
        <w:instrText xml:space="preserve"> XE "</w:instrText>
      </w:r>
      <w:r>
        <w:rPr>
          <w:b/>
          <w:bCs/>
          <w:noProof/>
          <w:highlight w:val="green"/>
        </w:rPr>
        <w:instrText>Répartition</w:instrText>
      </w:r>
      <w:r>
        <w:rPr>
          <w:b/>
          <w:bCs/>
          <w:highlight w:val="green"/>
        </w:rPr>
        <w:instrText>:</w:instrText>
      </w:r>
      <w:r>
        <w:rPr>
          <w:b/>
          <w:bCs/>
          <w:noProof/>
          <w:highlight w:val="green"/>
        </w:rPr>
        <w:instrText>– primaire</w:instrText>
      </w:r>
      <w:r>
        <w:rPr>
          <w:b/>
          <w:bCs/>
          <w:highlight w:val="green"/>
        </w:rPr>
        <w:instrText xml:space="preserve">" </w:instrText>
      </w:r>
      <w:r>
        <w:rPr>
          <w:b/>
          <w:bCs/>
          <w:highlight w:val="green"/>
        </w:rPr>
        <w:fldChar w:fldCharType="end"/>
      </w:r>
      <w:r>
        <w:t xml:space="preserve"> et </w:t>
      </w:r>
      <w:r>
        <w:rPr>
          <w:b/>
          <w:bCs/>
        </w:rPr>
        <w:t>répartition « secondaire »</w:t>
      </w:r>
      <w:r>
        <w:rPr>
          <w:highlight w:val="green"/>
        </w:rPr>
        <w:fldChar w:fldCharType="begin"/>
      </w:r>
      <w:r>
        <w:rPr>
          <w:highlight w:val="green"/>
        </w:rPr>
        <w:instrText xml:space="preserve"> XE "</w:instrText>
      </w:r>
      <w:r>
        <w:rPr>
          <w:noProof/>
          <w:highlight w:val="green"/>
        </w:rPr>
        <w:instrText>Répartition</w:instrText>
      </w:r>
      <w:r>
        <w:rPr>
          <w:highlight w:val="green"/>
        </w:rPr>
        <w:instrText>:</w:instrText>
      </w:r>
      <w:r>
        <w:rPr>
          <w:noProof/>
          <w:highlight w:val="green"/>
        </w:rPr>
        <w:instrText>– secondaire</w:instrText>
      </w:r>
      <w:r>
        <w:rPr>
          <w:highlight w:val="green"/>
        </w:rPr>
        <w:instrText xml:space="preserve">" </w:instrText>
      </w:r>
      <w:r>
        <w:rPr>
          <w:highlight w:val="green"/>
        </w:rPr>
        <w:fldChar w:fldCharType="end"/>
      </w:r>
      <w:r>
        <w:t>, du fait de l’existence de deux grandes catégories de centres, les centres « principaux » et les centres « auxiliaires ».</w:t>
      </w:r>
    </w:p>
    <w:p w14:paraId="68FC7D7D" w14:textId="77777777" w:rsidR="005D07A6" w:rsidRDefault="00F42774">
      <w:pPr>
        <w:pStyle w:val="CTEspDessous"/>
      </w:pPr>
      <w:r>
        <w:t xml:space="preserve">Les </w:t>
      </w:r>
      <w:r>
        <w:rPr>
          <w:b/>
          <w:bCs/>
        </w:rPr>
        <w:t>centres principaux</w:t>
      </w:r>
      <w:r>
        <w:rPr>
          <w:highlight w:val="green"/>
        </w:rPr>
        <w:fldChar w:fldCharType="begin"/>
      </w:r>
      <w:r>
        <w:rPr>
          <w:highlight w:val="green"/>
        </w:rPr>
        <w:instrText xml:space="preserve"> XE "</w:instrText>
      </w:r>
      <w:r>
        <w:rPr>
          <w:noProof/>
          <w:highlight w:val="green"/>
        </w:rPr>
        <w:instrText>Centre</w:instrText>
      </w:r>
      <w:r>
        <w:rPr>
          <w:highlight w:val="green"/>
        </w:rPr>
        <w:instrText>:</w:instrText>
      </w:r>
      <w:r>
        <w:rPr>
          <w:noProof/>
          <w:highlight w:val="green"/>
        </w:rPr>
        <w:instrText>– principal</w:instrText>
      </w:r>
      <w:r>
        <w:rPr>
          <w:highlight w:val="green"/>
        </w:rPr>
        <w:instrText xml:space="preserve">" </w:instrText>
      </w:r>
      <w:r>
        <w:rPr>
          <w:highlight w:val="green"/>
        </w:rPr>
        <w:fldChar w:fldCharType="end"/>
      </w:r>
      <w:r>
        <w:t xml:space="preserve"> sont directement impliqués de façon « opérationnelle » dans le </w:t>
      </w:r>
      <w:r>
        <w:rPr>
          <w:i/>
          <w:iCs/>
        </w:rPr>
        <w:t>process</w:t>
      </w:r>
      <w:r>
        <w:t>, à l’un des grands stades fonctionnels. On distingue ainsi, par exemple, des centres liés à la fonction approvisionnement (un bureau d’achat, par exemple), des centres liés à la fonction production (les ateliers), des centres liés à la fonction distribution (service marketing, service livraison), etc.</w:t>
      </w:r>
    </w:p>
    <w:p w14:paraId="39671C12" w14:textId="77777777" w:rsidR="005D07A6" w:rsidRDefault="00F42774">
      <w:pPr>
        <w:pStyle w:val="CTEspDessous"/>
      </w:pPr>
      <w:r>
        <w:t xml:space="preserve">Par opposition, les </w:t>
      </w:r>
      <w:r>
        <w:rPr>
          <w:b/>
          <w:bCs/>
        </w:rPr>
        <w:t>centres auxiliaires</w:t>
      </w:r>
      <w:r>
        <w:rPr>
          <w:highlight w:val="green"/>
        </w:rPr>
        <w:fldChar w:fldCharType="begin"/>
      </w:r>
      <w:r>
        <w:rPr>
          <w:highlight w:val="green"/>
        </w:rPr>
        <w:instrText xml:space="preserve"> XE "</w:instrText>
      </w:r>
      <w:r>
        <w:rPr>
          <w:noProof/>
          <w:highlight w:val="green"/>
        </w:rPr>
        <w:instrText>Centre</w:instrText>
      </w:r>
      <w:r>
        <w:rPr>
          <w:highlight w:val="green"/>
        </w:rPr>
        <w:instrText>:</w:instrText>
      </w:r>
      <w:r>
        <w:rPr>
          <w:noProof/>
          <w:highlight w:val="green"/>
        </w:rPr>
        <w:instrText>– auxiliaire</w:instrText>
      </w:r>
      <w:r>
        <w:rPr>
          <w:highlight w:val="green"/>
        </w:rPr>
        <w:instrText xml:space="preserve">" </w:instrText>
      </w:r>
      <w:r>
        <w:rPr>
          <w:highlight w:val="green"/>
        </w:rPr>
        <w:fldChar w:fldCharType="end"/>
      </w:r>
      <w:r>
        <w:t xml:space="preserve"> sont en position de support : ils ne travaillent pas directement sur les produits, comme un atelier, mais ils rendent des services indispensables au bon fonctionnement des centres principaux. L’exemple classique est celui des services administratifs. Le service du personnel gère les dossiers des personnes qui travaillent dans les autres services, à la production comme au commercial. Le service comptable enregistre les opérations concernant tous les autres services.</w:t>
      </w:r>
    </w:p>
    <w:p w14:paraId="43ACBB73" w14:textId="77777777" w:rsidR="005D07A6" w:rsidRDefault="00F42774">
      <w:pPr>
        <w:pStyle w:val="CTEspDessous"/>
      </w:pPr>
      <w:r>
        <w:t>Il faut donc opérer en deux temps. Dans un premier temps, on répartit les charges indirectes sur tous les centres, auxiliaires comme principaux (</w:t>
      </w:r>
      <w:r>
        <w:rPr>
          <w:b/>
          <w:bCs/>
        </w:rPr>
        <w:t>répartition primaire</w:t>
      </w:r>
      <w:r>
        <w:rPr>
          <w:highlight w:val="green"/>
        </w:rPr>
        <w:fldChar w:fldCharType="begin"/>
      </w:r>
      <w:r>
        <w:rPr>
          <w:highlight w:val="green"/>
        </w:rPr>
        <w:instrText xml:space="preserve"> XE "</w:instrText>
      </w:r>
      <w:r>
        <w:rPr>
          <w:noProof/>
          <w:highlight w:val="green"/>
        </w:rPr>
        <w:instrText>Répartition</w:instrText>
      </w:r>
      <w:r>
        <w:rPr>
          <w:highlight w:val="green"/>
        </w:rPr>
        <w:instrText>:</w:instrText>
      </w:r>
      <w:r>
        <w:rPr>
          <w:noProof/>
          <w:highlight w:val="green"/>
        </w:rPr>
        <w:instrText>– primaire</w:instrText>
      </w:r>
      <w:r>
        <w:rPr>
          <w:highlight w:val="green"/>
        </w:rPr>
        <w:instrText xml:space="preserve">" </w:instrText>
      </w:r>
      <w:r>
        <w:rPr>
          <w:highlight w:val="green"/>
        </w:rPr>
        <w:fldChar w:fldCharType="end"/>
      </w:r>
      <w:r>
        <w:t>). Puis, dans un second temps, les frais de fonctionnement des centres auxiliaires sont refacturés aux centres principaux (</w:t>
      </w:r>
      <w:r>
        <w:rPr>
          <w:b/>
          <w:bCs/>
        </w:rPr>
        <w:t>répartition secondaire</w:t>
      </w:r>
      <w:r>
        <w:rPr>
          <w:highlight w:val="green"/>
        </w:rPr>
        <w:fldChar w:fldCharType="begin"/>
      </w:r>
      <w:r>
        <w:rPr>
          <w:highlight w:val="green"/>
        </w:rPr>
        <w:instrText xml:space="preserve"> XE "</w:instrText>
      </w:r>
      <w:r>
        <w:rPr>
          <w:noProof/>
          <w:highlight w:val="green"/>
        </w:rPr>
        <w:instrText>Répartition</w:instrText>
      </w:r>
      <w:r>
        <w:rPr>
          <w:highlight w:val="green"/>
        </w:rPr>
        <w:instrText>:</w:instrText>
      </w:r>
      <w:r>
        <w:rPr>
          <w:noProof/>
          <w:highlight w:val="green"/>
        </w:rPr>
        <w:instrText>– secondaire</w:instrText>
      </w:r>
      <w:r>
        <w:rPr>
          <w:highlight w:val="green"/>
        </w:rPr>
        <w:instrText xml:space="preserve">" </w:instrText>
      </w:r>
      <w:r>
        <w:rPr>
          <w:highlight w:val="green"/>
        </w:rPr>
        <w:fldChar w:fldCharType="end"/>
      </w:r>
      <w:r>
        <w:t>). Là encore, il faut utiliser une clé de répartition (en fonction du nombre de salariés, par exemple).</w:t>
      </w:r>
    </w:p>
    <w:p w14:paraId="54A00D9B" w14:textId="77777777" w:rsidR="005D07A6" w:rsidRDefault="00F42774">
      <w:pPr>
        <w:pStyle w:val="CTEspDessous"/>
      </w:pPr>
      <w:r>
        <w:t>Ce travail peut s’effectuer manuellement dans un « </w:t>
      </w:r>
      <w:r>
        <w:rPr>
          <w:b/>
          <w:bCs/>
        </w:rPr>
        <w:t>tableau de répartition</w:t>
      </w:r>
      <w:r>
        <w:rPr>
          <w:highlight w:val="green"/>
        </w:rPr>
        <w:fldChar w:fldCharType="begin"/>
      </w:r>
      <w:r>
        <w:rPr>
          <w:highlight w:val="green"/>
        </w:rPr>
        <w:instrText xml:space="preserve"> XE "</w:instrText>
      </w:r>
      <w:r>
        <w:rPr>
          <w:noProof/>
          <w:highlight w:val="green"/>
        </w:rPr>
        <w:instrText>Tableau</w:instrText>
      </w:r>
      <w:r>
        <w:rPr>
          <w:highlight w:val="green"/>
        </w:rPr>
        <w:instrText>:</w:instrText>
      </w:r>
      <w:r>
        <w:rPr>
          <w:noProof/>
          <w:highlight w:val="green"/>
        </w:rPr>
        <w:instrText>– de répartition</w:instrText>
      </w:r>
      <w:r>
        <w:rPr>
          <w:highlight w:val="green"/>
        </w:rPr>
        <w:instrText xml:space="preserve">" </w:instrText>
      </w:r>
      <w:r>
        <w:rPr>
          <w:highlight w:val="green"/>
        </w:rPr>
        <w:fldChar w:fldCharType="end"/>
      </w:r>
      <w:r>
        <w:t> » avec les différents centres en colonnes. Il peut aussi être informatisé, en fournissant à la base de données les clés de répartition.</w:t>
      </w:r>
    </w:p>
    <w:p w14:paraId="1B36E38E" w14:textId="77777777" w:rsidR="005D07A6" w:rsidRDefault="00F42774">
      <w:pPr>
        <w:pStyle w:val="T3"/>
      </w:pPr>
      <w:r>
        <w:t>section 3.</w:t>
      </w:r>
      <w:r>
        <w:tab/>
        <w:t>Les unités d’œuvre</w:t>
      </w:r>
    </w:p>
    <w:p w14:paraId="23C475CF" w14:textId="77777777" w:rsidR="005D07A6" w:rsidRDefault="00F42774">
      <w:pPr>
        <w:pStyle w:val="CTEspDessous"/>
      </w:pPr>
      <w:r>
        <w:t xml:space="preserve">Pour chaque centre principal, on définit une </w:t>
      </w:r>
      <w:r>
        <w:rPr>
          <w:b/>
          <w:bCs/>
        </w:rPr>
        <w:t>« unité d’œuvre</w:t>
      </w:r>
      <w:r>
        <w:rPr>
          <w:highlight w:val="green"/>
        </w:rPr>
        <w:fldChar w:fldCharType="begin"/>
      </w:r>
      <w:r>
        <w:rPr>
          <w:highlight w:val="green"/>
        </w:rPr>
        <w:instrText xml:space="preserve"> XE "</w:instrText>
      </w:r>
      <w:r>
        <w:rPr>
          <w:noProof/>
          <w:highlight w:val="green"/>
        </w:rPr>
        <w:instrText>Unité d’œuvre</w:instrText>
      </w:r>
      <w:r>
        <w:rPr>
          <w:highlight w:val="green"/>
        </w:rPr>
        <w:instrText xml:space="preserve">" </w:instrText>
      </w:r>
      <w:r>
        <w:rPr>
          <w:highlight w:val="green"/>
        </w:rPr>
        <w:fldChar w:fldCharType="end"/>
      </w:r>
      <w:r>
        <w:rPr>
          <w:b/>
          <w:bCs/>
        </w:rPr>
        <w:t> »</w:t>
      </w:r>
      <w:r>
        <w:t xml:space="preserve">, variable représentative de l’activité, permettant de mesurer cette activité. Il faut donc partir d’une bonne compréhension des technologies employées. Par exemple, dans un atelier fortement mécanisé, on prendra pour unité d’œuvre l’heure d’utilisation de la machine alors que, dans un atelier faiblement mécanisé, dans lequel le travail est resté très artisanal, on prendra l’heure de MOD. On peut, de façon très empirique, avoir une </w:t>
      </w:r>
      <w:r>
        <w:lastRenderedPageBreak/>
        <w:t xml:space="preserve">certaine intuition de l’unité d’œuvre à retenir. Mais, plus rationnellement, si on hésite entre plusieurs unités d’œuvres, il faut choisir celle qui donne le </w:t>
      </w:r>
      <w:r>
        <w:rPr>
          <w:b/>
          <w:bCs/>
        </w:rPr>
        <w:t>meilleur ajustement linéaire</w:t>
      </w:r>
      <w:r>
        <w:rPr>
          <w:highlight w:val="green"/>
        </w:rPr>
        <w:fldChar w:fldCharType="begin"/>
      </w:r>
      <w:r>
        <w:rPr>
          <w:highlight w:val="green"/>
        </w:rPr>
        <w:instrText xml:space="preserve"> XE "</w:instrText>
      </w:r>
      <w:r>
        <w:rPr>
          <w:noProof/>
          <w:highlight w:val="green"/>
        </w:rPr>
        <w:instrText>Ajustement linéaire</w:instrText>
      </w:r>
      <w:r>
        <w:rPr>
          <w:highlight w:val="green"/>
        </w:rPr>
        <w:instrText xml:space="preserve">" </w:instrText>
      </w:r>
      <w:r>
        <w:rPr>
          <w:highlight w:val="green"/>
        </w:rPr>
        <w:fldChar w:fldCharType="end"/>
      </w:r>
      <w:r>
        <w:t xml:space="preserve"> des charges du centre par rapport au niveau d’activité, donc calculer les </w:t>
      </w:r>
      <w:r>
        <w:rPr>
          <w:b/>
          <w:bCs/>
        </w:rPr>
        <w:t>coefficients de corrélation</w:t>
      </w:r>
      <w:r>
        <w:rPr>
          <w:highlight w:val="green"/>
        </w:rPr>
        <w:fldChar w:fldCharType="begin"/>
      </w:r>
      <w:r>
        <w:rPr>
          <w:highlight w:val="green"/>
        </w:rPr>
        <w:instrText xml:space="preserve"> XE "</w:instrText>
      </w:r>
      <w:r>
        <w:rPr>
          <w:noProof/>
          <w:highlight w:val="green"/>
        </w:rPr>
        <w:instrText>Coefficient</w:instrText>
      </w:r>
      <w:r>
        <w:rPr>
          <w:highlight w:val="green"/>
        </w:rPr>
        <w:instrText>:</w:instrText>
      </w:r>
      <w:r>
        <w:rPr>
          <w:noProof/>
          <w:highlight w:val="green"/>
        </w:rPr>
        <w:instrText>– de corrélation</w:instrText>
      </w:r>
      <w:r>
        <w:rPr>
          <w:highlight w:val="green"/>
        </w:rPr>
        <w:instrText xml:space="preserve">" </w:instrText>
      </w:r>
      <w:r>
        <w:rPr>
          <w:highlight w:val="green"/>
        </w:rPr>
        <w:fldChar w:fldCharType="end"/>
      </w:r>
      <w:r>
        <w:t xml:space="preserve"> et choisir l’unité d’œuvre qui donne le coefficient le plus proche de |1| (lire « valeur absolue de 1 »). Un développement mathématique est consacré à la présentation des calculs de coefficients de corrélation et d’ajustements linéaires dans le </w:t>
      </w:r>
      <w:r>
        <w:rPr>
          <w:rStyle w:val="renvoi"/>
        </w:rPr>
        <w:t>chapitre 4 « Corrélation et prestations réciproques »</w:t>
      </w:r>
      <w:r>
        <w:t xml:space="preserve"> ci-après.</w:t>
      </w:r>
    </w:p>
    <w:p w14:paraId="42E85B05" w14:textId="77777777" w:rsidR="005D07A6" w:rsidRDefault="00F42774">
      <w:pPr>
        <w:pStyle w:val="CTEspDessous"/>
      </w:pPr>
      <w:r>
        <w:rPr>
          <w:b/>
          <w:bCs/>
        </w:rPr>
        <w:t>L’unicité de la variable retenue comme unité d’œuvre est liée à l’homogénéité</w:t>
      </w:r>
      <w:r>
        <w:rPr>
          <w:highlight w:val="green"/>
        </w:rPr>
        <w:fldChar w:fldCharType="begin"/>
      </w:r>
      <w:r>
        <w:rPr>
          <w:highlight w:val="green"/>
        </w:rPr>
        <w:instrText xml:space="preserve"> XE "</w:instrText>
      </w:r>
      <w:r>
        <w:rPr>
          <w:noProof/>
          <w:highlight w:val="green"/>
        </w:rPr>
        <w:instrText>Homogénéité</w:instrText>
      </w:r>
      <w:r>
        <w:rPr>
          <w:highlight w:val="green"/>
        </w:rPr>
        <w:instrText xml:space="preserve">" </w:instrText>
      </w:r>
      <w:r>
        <w:rPr>
          <w:highlight w:val="green"/>
        </w:rPr>
        <w:fldChar w:fldCharType="end"/>
      </w:r>
      <w:r>
        <w:rPr>
          <w:b/>
          <w:bCs/>
        </w:rPr>
        <w:t xml:space="preserve"> du centre.</w:t>
      </w:r>
      <w:r>
        <w:t xml:space="preserve"> Si l’on ne trouve pas de bon coefficient de corrélation, c’est que la condition d’homogénéité n’est pas satisfaite et qu’il faut redécouper le centre en des sections plus fines.</w:t>
      </w:r>
    </w:p>
    <w:p w14:paraId="66F899F8" w14:textId="77777777" w:rsidR="005D07A6" w:rsidRDefault="00F42774">
      <w:pPr>
        <w:pStyle w:val="CTEspDessous"/>
      </w:pPr>
      <w:r>
        <w:t>Cette notion d’unité d’œuvre peut également être utilisée pour la répartition secondaire des centres auxiliaires. Inversement, certaines unités d’œuvre utilisées pour l’imputation des charges des centres principaux s’apparentent beaucoup à des clés de répartition. C’est le cas quand, par exemple, on décide d’imputer les frais commerciaux au prorata du chiffre d’affaires, ce qui revient à prendre comme unité d’œuvre 1 euro de chiffre d’affaires (ou un multiple, par exemple 100 euros ; dans ce cas, la clé sera exprimée sous la forme d’un pourcentage).</w:t>
      </w:r>
    </w:p>
    <w:p w14:paraId="6A37A00C" w14:textId="77777777" w:rsidR="005D07A6" w:rsidRDefault="00F42774">
      <w:pPr>
        <w:pStyle w:val="CTEspDessous"/>
      </w:pPr>
      <w:r>
        <w:t xml:space="preserve">Dans l’idéal, </w:t>
      </w:r>
      <w:r>
        <w:rPr>
          <w:b/>
          <w:bCs/>
        </w:rPr>
        <w:t>l’unité d’œuvre doit exprimer une relation causale entre l’activité et les ressources consommées</w:t>
      </w:r>
      <w:r>
        <w:t>, et ne pas être uniquement un moyen de répartir des charges, de les faire « supporter » arbitrairement par les différents produits. Dans la méthode de base, on suppose qu’il n’y a pas de répartition ou d’imputation arbitraires, ou on les tolère par simplification, l’homogénéité étant nécessairement relative et imparfaite.</w:t>
      </w:r>
    </w:p>
    <w:p w14:paraId="7303EE35" w14:textId="77777777" w:rsidR="005D07A6" w:rsidRDefault="00F42774">
      <w:pPr>
        <w:pStyle w:val="CTEspDessous"/>
      </w:pPr>
      <w:r>
        <w:t xml:space="preserve">Pour chaque centre principal, on recense le nombre total d’unités d’œuvre de la période, et on calcule le </w:t>
      </w:r>
      <w:r>
        <w:rPr>
          <w:b/>
          <w:bCs/>
        </w:rPr>
        <w:t>coût de l’unité d’œuvre</w:t>
      </w:r>
      <w:r>
        <w:t xml:space="preserve"> en divisant le total de répartition secondaire (numérateur) par le nombre total d’unités d’œuvre (dénominateur).</w:t>
      </w:r>
    </w:p>
    <w:p w14:paraId="78D65F23" w14:textId="77777777" w:rsidR="005D07A6" w:rsidRDefault="00F42774">
      <w:pPr>
        <w:pStyle w:val="debutfiletr"/>
      </w:pPr>
      <w:r>
        <w:t>Application _n-3</w:t>
      </w:r>
    </w:p>
    <w:p w14:paraId="530CB388" w14:textId="77777777" w:rsidR="005D07A6" w:rsidRDefault="00F42774">
      <w:pPr>
        <w:pStyle w:val="CT"/>
      </w:pPr>
      <w:r>
        <w:t>L’atelier traitement finition anticorrosion d’une entreprise de sous-traitance mécanique est fortement automatisé et utilise la robotique comme technologie : il est équipé d’un « robot peintre ». À partir d’un historique sur 12 mois, on a pratiqué un ajustement linéaire des charges de fonctionnement par rapport au temps d’utilisation du robot, et on a trouvé un coefficient de corrélation de 0,92, jugé suffisamment proche de 1 pour que l’on puisse retenir l’heure d’utilisation du robot comme unité d’œuvre.</w:t>
      </w:r>
    </w:p>
    <w:p w14:paraId="29503EF3" w14:textId="77777777" w:rsidR="005D07A6" w:rsidRDefault="00F42774">
      <w:pPr>
        <w:pStyle w:val="CT"/>
      </w:pPr>
      <w:r>
        <w:t>Pour le mois « m », les charges indirectes s’élèvent à 8 000 €, et le robot a fonctionné pendant 200 heures.</w:t>
      </w:r>
    </w:p>
    <w:p w14:paraId="068BC241" w14:textId="77777777" w:rsidR="005D07A6" w:rsidRDefault="00F42774">
      <w:pPr>
        <w:pStyle w:val="CT"/>
      </w:pPr>
      <w:r>
        <w:t>Le coût de l’unité d’œuvre est de : 8 000/200 = 40 €.</w:t>
      </w:r>
    </w:p>
    <w:p w14:paraId="3AA7E026" w14:textId="77777777" w:rsidR="005D07A6" w:rsidRDefault="00F42774">
      <w:pPr>
        <w:pStyle w:val="CT"/>
      </w:pPr>
      <w:r>
        <w:t>Cela signifie qu’à chaque fois que l’on utilise le robot pendant une heure, on doit imputer 40 € au coût du produit correspondant.</w:t>
      </w:r>
    </w:p>
    <w:p w14:paraId="554EF5E8" w14:textId="77777777" w:rsidR="005D07A6" w:rsidRDefault="00F42774">
      <w:pPr>
        <w:pStyle w:val="finfiletr"/>
      </w:pPr>
      <w:r>
        <w:t>Fin Application</w:t>
      </w:r>
    </w:p>
    <w:p w14:paraId="513CB8E5" w14:textId="77777777" w:rsidR="005D07A6" w:rsidRDefault="00F42774">
      <w:pPr>
        <w:pStyle w:val="CTEspDessous"/>
      </w:pPr>
      <w:r>
        <w:t xml:space="preserve">Quand le nombre total d’unités d’œuvre est une assiette monétaire (par exemple, « coût de production », « chiffre d’affaires »), le résultat obtenu est, en toute rigueur, un </w:t>
      </w:r>
      <w:r>
        <w:rPr>
          <w:b/>
          <w:bCs/>
        </w:rPr>
        <w:t>taux de frais</w:t>
      </w:r>
      <w:r>
        <w:rPr>
          <w:highlight w:val="green"/>
        </w:rPr>
        <w:fldChar w:fldCharType="begin"/>
      </w:r>
      <w:r>
        <w:rPr>
          <w:highlight w:val="green"/>
        </w:rPr>
        <w:instrText xml:space="preserve"> XE "</w:instrText>
      </w:r>
      <w:r>
        <w:rPr>
          <w:noProof/>
          <w:highlight w:val="green"/>
        </w:rPr>
        <w:instrText>Taux de frais</w:instrText>
      </w:r>
      <w:r>
        <w:rPr>
          <w:highlight w:val="green"/>
        </w:rPr>
        <w:instrText xml:space="preserve">" </w:instrText>
      </w:r>
      <w:r>
        <w:rPr>
          <w:highlight w:val="green"/>
        </w:rPr>
        <w:fldChar w:fldCharType="end"/>
      </w:r>
      <w:r>
        <w:t xml:space="preserve"> et devrait être exprimé en pourcentage.</w:t>
      </w:r>
    </w:p>
    <w:p w14:paraId="218E0D73" w14:textId="77777777" w:rsidR="005D07A6" w:rsidRDefault="00F42774">
      <w:pPr>
        <w:pStyle w:val="debutfiletr"/>
      </w:pPr>
      <w:r>
        <w:t>Application _n-4</w:t>
      </w:r>
    </w:p>
    <w:p w14:paraId="61A6A99A" w14:textId="77777777" w:rsidR="005D07A6" w:rsidRDefault="00F42774">
      <w:pPr>
        <w:pStyle w:val="CT"/>
      </w:pPr>
      <w:r>
        <w:t>Le montant des charges indirectes du centre distribution est égal à 15 000 € pour la période.</w:t>
      </w:r>
    </w:p>
    <w:p w14:paraId="51C554F5" w14:textId="77777777" w:rsidR="005D07A6" w:rsidRDefault="00F42774">
      <w:pPr>
        <w:pStyle w:val="CT"/>
      </w:pPr>
      <w:r>
        <w:t>L’unité d’œuvre retenue est le chiffre d’affaires dont le montant total est égal à 200 000 € pour la période (dont 50 000 € pour le produit A).</w:t>
      </w:r>
    </w:p>
    <w:p w14:paraId="1A5916F2" w14:textId="77777777" w:rsidR="005D07A6" w:rsidRDefault="00F42774">
      <w:pPr>
        <w:pStyle w:val="CT"/>
      </w:pPr>
      <w:r>
        <w:t>Le taux de frais est de : 15 000/200 000 = 7,5 %.</w:t>
      </w:r>
    </w:p>
    <w:p w14:paraId="66D1F084" w14:textId="77777777" w:rsidR="005D07A6" w:rsidRDefault="00F42774">
      <w:pPr>
        <w:pStyle w:val="CT"/>
      </w:pPr>
      <w:r>
        <w:t>Cela signifie que pour imputer le montant des charges indirectes de distribution au coût de revient d’un produit, il faut retenir 7,5 % de son chiffre d’affaires.</w:t>
      </w:r>
    </w:p>
    <w:p w14:paraId="1F04F769" w14:textId="77777777" w:rsidR="005D07A6" w:rsidRDefault="00F42774">
      <w:pPr>
        <w:pStyle w:val="CT"/>
      </w:pPr>
      <w:r>
        <w:t>Ainsi, pour le produit A, le montant des charges indirectes de distribution sera égal à :</w:t>
      </w:r>
    </w:p>
    <w:p w14:paraId="1C942980" w14:textId="77777777" w:rsidR="005D07A6" w:rsidRDefault="00F42774">
      <w:pPr>
        <w:pStyle w:val="CT"/>
      </w:pPr>
      <w:r>
        <w:lastRenderedPageBreak/>
        <w:t>50 000 × 7,5 % = 3 750 €.</w:t>
      </w:r>
    </w:p>
    <w:p w14:paraId="7B08C95F" w14:textId="77777777" w:rsidR="005D07A6" w:rsidRDefault="00F42774">
      <w:pPr>
        <w:pStyle w:val="CT"/>
      </w:pPr>
      <w:r>
        <w:t>Il est à noter que très souvent, par souci de simplification, la distinction entre « coût de l’unité d’œuvre » et « taux de frais » n’est pas faite, et que le même montant de charges indirectes de distribution est obtenu par le calcul 50 000 × 0,075.</w:t>
      </w:r>
    </w:p>
    <w:p w14:paraId="1B22325B" w14:textId="77777777" w:rsidR="005D07A6" w:rsidRDefault="00F42774">
      <w:pPr>
        <w:pStyle w:val="finfiletr"/>
      </w:pPr>
      <w:r>
        <w:t>Fin Application</w:t>
      </w:r>
    </w:p>
    <w:p w14:paraId="09F295D1" w14:textId="77777777" w:rsidR="005D07A6" w:rsidRDefault="00F42774">
      <w:pPr>
        <w:pStyle w:val="T3"/>
      </w:pPr>
      <w:r>
        <w:t>section 4.</w:t>
      </w:r>
      <w:r>
        <w:tab/>
        <w:t>L’imputation au coût des produits</w:t>
      </w:r>
    </w:p>
    <w:p w14:paraId="3A6A34B7" w14:textId="77777777" w:rsidR="005D07A6" w:rsidRDefault="00F42774">
      <w:pPr>
        <w:pStyle w:val="CTEspDessous"/>
      </w:pPr>
      <w:r>
        <w:t xml:space="preserve">Cette </w:t>
      </w:r>
      <w:r>
        <w:rPr>
          <w:b/>
          <w:bCs/>
        </w:rPr>
        <w:t>imputation</w:t>
      </w:r>
      <w:r>
        <w:rPr>
          <w:highlight w:val="green"/>
        </w:rPr>
        <w:fldChar w:fldCharType="begin"/>
      </w:r>
      <w:r>
        <w:rPr>
          <w:highlight w:val="green"/>
        </w:rPr>
        <w:instrText xml:space="preserve"> XE "</w:instrText>
      </w:r>
      <w:r>
        <w:rPr>
          <w:noProof/>
          <w:highlight w:val="green"/>
        </w:rPr>
        <w:instrText>Imputation</w:instrText>
      </w:r>
      <w:r>
        <w:rPr>
          <w:highlight w:val="green"/>
        </w:rPr>
        <w:instrText xml:space="preserve">" </w:instrText>
      </w:r>
      <w:r>
        <w:rPr>
          <w:highlight w:val="green"/>
        </w:rPr>
        <w:fldChar w:fldCharType="end"/>
      </w:r>
      <w:r>
        <w:t xml:space="preserve"> s’effectue </w:t>
      </w:r>
      <w:r>
        <w:rPr>
          <w:b/>
          <w:bCs/>
        </w:rPr>
        <w:t>proportionnellement au nombre d’unités d’œuvre</w:t>
      </w:r>
      <w:r>
        <w:t xml:space="preserve"> utilisées (ou proportionnellement à l’assiette dans le cas d’un taux de frais) par les différents produits traités par le centre.</w:t>
      </w:r>
    </w:p>
    <w:p w14:paraId="17751664" w14:textId="77777777" w:rsidR="005D07A6" w:rsidRDefault="00F42774">
      <w:pPr>
        <w:pStyle w:val="debutfiletr"/>
      </w:pPr>
      <w:r>
        <w:t>Application _n-3_Suite</w:t>
      </w:r>
    </w:p>
    <w:p w14:paraId="01E8BFDE" w14:textId="77777777" w:rsidR="005D07A6" w:rsidRDefault="00F42774">
      <w:pPr>
        <w:pStyle w:val="CT"/>
      </w:pPr>
      <w:r>
        <w:t>Reprenons notre exemple précédent, en supposant que l’atelier a traité trois commandes pendant le mois « m », avec le relevé des temps d’utilisation du robot suivant :</w:t>
      </w:r>
    </w:p>
    <w:tbl>
      <w:tblPr>
        <w:tblW w:w="4598" w:type="dxa"/>
        <w:tblInd w:w="1701" w:type="dxa"/>
        <w:tblLook w:val="04A0" w:firstRow="1" w:lastRow="0" w:firstColumn="1" w:lastColumn="0" w:noHBand="0" w:noVBand="1"/>
      </w:tblPr>
      <w:tblGrid>
        <w:gridCol w:w="2299"/>
        <w:gridCol w:w="2299"/>
      </w:tblGrid>
      <w:tr w:rsidR="005D07A6" w14:paraId="2B23287F" w14:textId="77777777">
        <w:tc>
          <w:tcPr>
            <w:tcW w:w="172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9154A57" w14:textId="77777777" w:rsidR="005D07A6" w:rsidRDefault="00F42774">
            <w:pPr>
              <w:pStyle w:val="TA1"/>
              <w:jc w:val="center"/>
              <w:rPr>
                <w:rFonts w:eastAsiaTheme="minorEastAsia"/>
              </w:rPr>
            </w:pPr>
            <w:r>
              <w:rPr>
                <w:b/>
                <w:bCs/>
              </w:rPr>
              <w:t>Commande</w:t>
            </w:r>
          </w:p>
        </w:tc>
        <w:tc>
          <w:tcPr>
            <w:tcW w:w="172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0D1C945" w14:textId="77777777" w:rsidR="005D07A6" w:rsidRDefault="00F42774">
            <w:pPr>
              <w:pStyle w:val="TA1"/>
              <w:jc w:val="center"/>
              <w:rPr>
                <w:rFonts w:eastAsiaTheme="minorEastAsia"/>
              </w:rPr>
            </w:pPr>
            <w:r>
              <w:rPr>
                <w:b/>
                <w:bCs/>
              </w:rPr>
              <w:t>Heures de fonctionnement</w:t>
            </w:r>
          </w:p>
        </w:tc>
      </w:tr>
      <w:tr w:rsidR="005D07A6" w14:paraId="2FD674FD" w14:textId="77777777">
        <w:tc>
          <w:tcPr>
            <w:tcW w:w="17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ED54E19" w14:textId="77777777" w:rsidR="005D07A6" w:rsidRDefault="00F42774">
            <w:pPr>
              <w:pStyle w:val="TA1"/>
              <w:jc w:val="center"/>
              <w:rPr>
                <w:rFonts w:eastAsiaTheme="minorEastAsia"/>
              </w:rPr>
            </w:pPr>
            <w:r>
              <w:t>C1</w:t>
            </w:r>
          </w:p>
        </w:tc>
        <w:tc>
          <w:tcPr>
            <w:tcW w:w="17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8221D9A" w14:textId="77777777" w:rsidR="005D07A6" w:rsidRDefault="00F42774">
            <w:pPr>
              <w:pStyle w:val="TA1"/>
              <w:jc w:val="right"/>
              <w:rPr>
                <w:rFonts w:eastAsiaTheme="minorEastAsia"/>
              </w:rPr>
            </w:pPr>
            <w:r>
              <w:t>100</w:t>
            </w:r>
          </w:p>
        </w:tc>
      </w:tr>
      <w:tr w:rsidR="005D07A6" w14:paraId="56AE10A9" w14:textId="77777777">
        <w:tc>
          <w:tcPr>
            <w:tcW w:w="17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152D1CB" w14:textId="77777777" w:rsidR="005D07A6" w:rsidRDefault="00F42774">
            <w:pPr>
              <w:pStyle w:val="TA1"/>
              <w:jc w:val="center"/>
              <w:rPr>
                <w:rFonts w:eastAsiaTheme="minorEastAsia"/>
              </w:rPr>
            </w:pPr>
            <w:r>
              <w:t>C2</w:t>
            </w:r>
          </w:p>
        </w:tc>
        <w:tc>
          <w:tcPr>
            <w:tcW w:w="17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1474850" w14:textId="77777777" w:rsidR="005D07A6" w:rsidRDefault="00F42774">
            <w:pPr>
              <w:pStyle w:val="TA1"/>
              <w:jc w:val="right"/>
              <w:rPr>
                <w:rFonts w:eastAsiaTheme="minorEastAsia"/>
              </w:rPr>
            </w:pPr>
            <w:r>
              <w:t>60</w:t>
            </w:r>
          </w:p>
        </w:tc>
      </w:tr>
      <w:tr w:rsidR="005D07A6" w14:paraId="70C2EE51" w14:textId="77777777">
        <w:tc>
          <w:tcPr>
            <w:tcW w:w="17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EC1F6F0" w14:textId="77777777" w:rsidR="005D07A6" w:rsidRDefault="00F42774">
            <w:pPr>
              <w:pStyle w:val="TA1"/>
              <w:jc w:val="center"/>
              <w:rPr>
                <w:rFonts w:eastAsiaTheme="minorEastAsia"/>
              </w:rPr>
            </w:pPr>
            <w:r>
              <w:t>C3</w:t>
            </w:r>
          </w:p>
        </w:tc>
        <w:tc>
          <w:tcPr>
            <w:tcW w:w="17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22B4356" w14:textId="77777777" w:rsidR="005D07A6" w:rsidRDefault="00F42774">
            <w:pPr>
              <w:pStyle w:val="TA1"/>
              <w:jc w:val="right"/>
              <w:rPr>
                <w:rFonts w:eastAsiaTheme="minorEastAsia"/>
              </w:rPr>
            </w:pPr>
            <w:r>
              <w:t>40</w:t>
            </w:r>
          </w:p>
        </w:tc>
      </w:tr>
      <w:tr w:rsidR="005D07A6" w14:paraId="7CC3E18E" w14:textId="77777777">
        <w:tc>
          <w:tcPr>
            <w:tcW w:w="17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13D7C7C" w14:textId="77777777" w:rsidR="005D07A6" w:rsidRDefault="00F42774">
            <w:pPr>
              <w:pStyle w:val="TA1"/>
              <w:jc w:val="center"/>
              <w:rPr>
                <w:rFonts w:eastAsiaTheme="minorEastAsia"/>
              </w:rPr>
            </w:pPr>
            <w:r>
              <w:t>Total</w:t>
            </w:r>
          </w:p>
        </w:tc>
        <w:tc>
          <w:tcPr>
            <w:tcW w:w="17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EDD599E" w14:textId="77777777" w:rsidR="005D07A6" w:rsidRDefault="00F42774">
            <w:pPr>
              <w:pStyle w:val="TA1"/>
              <w:jc w:val="right"/>
              <w:rPr>
                <w:rFonts w:eastAsiaTheme="minorEastAsia"/>
              </w:rPr>
            </w:pPr>
            <w:r>
              <w:t>200</w:t>
            </w:r>
          </w:p>
        </w:tc>
      </w:tr>
    </w:tbl>
    <w:p w14:paraId="01B10428" w14:textId="77777777" w:rsidR="005D07A6" w:rsidRDefault="00F42774">
      <w:pPr>
        <w:pStyle w:val="CT"/>
        <w:rPr>
          <w:rFonts w:eastAsiaTheme="minorEastAsia"/>
        </w:rPr>
      </w:pPr>
      <w:r>
        <w:t>On imputera les montants suivants aux coûts de production des commandes :</w:t>
      </w:r>
    </w:p>
    <w:tbl>
      <w:tblPr>
        <w:tblW w:w="4621" w:type="dxa"/>
        <w:tblInd w:w="1701" w:type="dxa"/>
        <w:tblLook w:val="04A0" w:firstRow="1" w:lastRow="0" w:firstColumn="1" w:lastColumn="0" w:noHBand="0" w:noVBand="1"/>
      </w:tblPr>
      <w:tblGrid>
        <w:gridCol w:w="1541"/>
        <w:gridCol w:w="1540"/>
        <w:gridCol w:w="1540"/>
      </w:tblGrid>
      <w:tr w:rsidR="005D07A6" w14:paraId="39172773" w14:textId="77777777">
        <w:tc>
          <w:tcPr>
            <w:tcW w:w="115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EF91C43" w14:textId="77777777" w:rsidR="005D07A6" w:rsidRDefault="00F42774">
            <w:pPr>
              <w:pStyle w:val="TA1"/>
              <w:jc w:val="center"/>
              <w:rPr>
                <w:rFonts w:eastAsiaTheme="minorEastAsia"/>
              </w:rPr>
            </w:pPr>
            <w:r>
              <w:rPr>
                <w:b/>
                <w:bCs/>
              </w:rPr>
              <w:t>Commande</w:t>
            </w:r>
          </w:p>
        </w:tc>
        <w:tc>
          <w:tcPr>
            <w:tcW w:w="115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5BE3D37" w14:textId="77777777" w:rsidR="005D07A6" w:rsidRDefault="00F42774">
            <w:pPr>
              <w:pStyle w:val="TA1"/>
              <w:jc w:val="center"/>
              <w:rPr>
                <w:rFonts w:eastAsiaTheme="minorEastAsia"/>
              </w:rPr>
            </w:pPr>
            <w:r>
              <w:rPr>
                <w:b/>
                <w:bCs/>
              </w:rPr>
              <w:t>Calcul</w:t>
            </w:r>
          </w:p>
        </w:tc>
        <w:tc>
          <w:tcPr>
            <w:tcW w:w="115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E3F2FBC" w14:textId="77777777" w:rsidR="005D07A6" w:rsidRDefault="00F42774">
            <w:pPr>
              <w:pStyle w:val="TA1"/>
              <w:jc w:val="center"/>
              <w:rPr>
                <w:rFonts w:eastAsiaTheme="minorEastAsia"/>
              </w:rPr>
            </w:pPr>
            <w:r>
              <w:rPr>
                <w:b/>
                <w:bCs/>
              </w:rPr>
              <w:t>Montant imputé</w:t>
            </w:r>
          </w:p>
        </w:tc>
      </w:tr>
      <w:tr w:rsidR="005D07A6" w14:paraId="772D98D2" w14:textId="77777777">
        <w:tc>
          <w:tcPr>
            <w:tcW w:w="11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8512CAF" w14:textId="77777777" w:rsidR="005D07A6" w:rsidRDefault="00F42774">
            <w:pPr>
              <w:pStyle w:val="TA1"/>
              <w:jc w:val="center"/>
              <w:rPr>
                <w:rFonts w:eastAsiaTheme="minorEastAsia"/>
              </w:rPr>
            </w:pPr>
            <w:r>
              <w:t>C1</w:t>
            </w:r>
          </w:p>
        </w:tc>
        <w:tc>
          <w:tcPr>
            <w:tcW w:w="11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D2C2178" w14:textId="77777777" w:rsidR="005D07A6" w:rsidRDefault="00F42774">
            <w:pPr>
              <w:pStyle w:val="TA1"/>
              <w:jc w:val="right"/>
              <w:rPr>
                <w:rFonts w:eastAsiaTheme="minorEastAsia"/>
              </w:rPr>
            </w:pPr>
            <w:r>
              <w:t>100 × 40 =</w:t>
            </w:r>
          </w:p>
        </w:tc>
        <w:tc>
          <w:tcPr>
            <w:tcW w:w="11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10CE803" w14:textId="77777777" w:rsidR="005D07A6" w:rsidRDefault="00F42774">
            <w:pPr>
              <w:pStyle w:val="TA1"/>
              <w:jc w:val="center"/>
              <w:rPr>
                <w:rFonts w:eastAsiaTheme="minorEastAsia"/>
              </w:rPr>
            </w:pPr>
            <w:r>
              <w:t>4 000</w:t>
            </w:r>
          </w:p>
        </w:tc>
      </w:tr>
      <w:tr w:rsidR="005D07A6" w14:paraId="5D6F39F8" w14:textId="77777777">
        <w:tc>
          <w:tcPr>
            <w:tcW w:w="11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B4CB969" w14:textId="77777777" w:rsidR="005D07A6" w:rsidRDefault="00F42774">
            <w:pPr>
              <w:pStyle w:val="TA1"/>
              <w:jc w:val="center"/>
              <w:rPr>
                <w:rFonts w:eastAsiaTheme="minorEastAsia"/>
              </w:rPr>
            </w:pPr>
            <w:r>
              <w:t>C2</w:t>
            </w:r>
          </w:p>
        </w:tc>
        <w:tc>
          <w:tcPr>
            <w:tcW w:w="11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971B435" w14:textId="77777777" w:rsidR="005D07A6" w:rsidRDefault="00F42774">
            <w:pPr>
              <w:pStyle w:val="TA1"/>
              <w:jc w:val="right"/>
              <w:rPr>
                <w:rFonts w:eastAsiaTheme="minorEastAsia"/>
              </w:rPr>
            </w:pPr>
            <w:r>
              <w:t>60 × 40 =</w:t>
            </w:r>
          </w:p>
        </w:tc>
        <w:tc>
          <w:tcPr>
            <w:tcW w:w="11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A1B1E88" w14:textId="77777777" w:rsidR="005D07A6" w:rsidRDefault="00F42774">
            <w:pPr>
              <w:pStyle w:val="TA1"/>
              <w:jc w:val="center"/>
              <w:rPr>
                <w:rFonts w:eastAsiaTheme="minorEastAsia"/>
              </w:rPr>
            </w:pPr>
            <w:r>
              <w:t>2 400</w:t>
            </w:r>
          </w:p>
        </w:tc>
      </w:tr>
      <w:tr w:rsidR="005D07A6" w14:paraId="59246C0C" w14:textId="77777777">
        <w:tc>
          <w:tcPr>
            <w:tcW w:w="11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F0FD4E2" w14:textId="77777777" w:rsidR="005D07A6" w:rsidRDefault="00F42774">
            <w:pPr>
              <w:pStyle w:val="TA1"/>
              <w:jc w:val="center"/>
              <w:rPr>
                <w:rFonts w:eastAsiaTheme="minorEastAsia"/>
              </w:rPr>
            </w:pPr>
            <w:r>
              <w:t>C3</w:t>
            </w:r>
          </w:p>
        </w:tc>
        <w:tc>
          <w:tcPr>
            <w:tcW w:w="11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D66AA41" w14:textId="77777777" w:rsidR="005D07A6" w:rsidRDefault="00F42774">
            <w:pPr>
              <w:pStyle w:val="TA1"/>
              <w:jc w:val="right"/>
              <w:rPr>
                <w:rFonts w:eastAsiaTheme="minorEastAsia"/>
              </w:rPr>
            </w:pPr>
            <w:r>
              <w:t>40 × 40 =</w:t>
            </w:r>
          </w:p>
        </w:tc>
        <w:tc>
          <w:tcPr>
            <w:tcW w:w="11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69E7CBF" w14:textId="77777777" w:rsidR="005D07A6" w:rsidRDefault="00F42774">
            <w:pPr>
              <w:pStyle w:val="TA1"/>
              <w:jc w:val="center"/>
              <w:rPr>
                <w:rFonts w:eastAsiaTheme="minorEastAsia"/>
              </w:rPr>
            </w:pPr>
            <w:r>
              <w:t>1 600</w:t>
            </w:r>
          </w:p>
        </w:tc>
      </w:tr>
      <w:tr w:rsidR="005D07A6" w14:paraId="19E4BD12" w14:textId="77777777">
        <w:tc>
          <w:tcPr>
            <w:tcW w:w="11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551FF32" w14:textId="77777777" w:rsidR="005D07A6" w:rsidRDefault="00F42774">
            <w:pPr>
              <w:pStyle w:val="TA1"/>
              <w:jc w:val="center"/>
              <w:rPr>
                <w:rFonts w:eastAsiaTheme="minorEastAsia"/>
              </w:rPr>
            </w:pPr>
            <w:r>
              <w:t>Total</w:t>
            </w:r>
          </w:p>
        </w:tc>
        <w:tc>
          <w:tcPr>
            <w:tcW w:w="11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5B7FE27" w14:textId="77777777" w:rsidR="005D07A6" w:rsidRDefault="005D07A6"/>
        </w:tc>
        <w:tc>
          <w:tcPr>
            <w:tcW w:w="11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E9DE19A" w14:textId="77777777" w:rsidR="005D07A6" w:rsidRDefault="00F42774">
            <w:pPr>
              <w:pStyle w:val="TA1"/>
              <w:jc w:val="center"/>
              <w:rPr>
                <w:rFonts w:eastAsiaTheme="minorEastAsia"/>
              </w:rPr>
            </w:pPr>
            <w:r>
              <w:t>8 000</w:t>
            </w:r>
          </w:p>
        </w:tc>
      </w:tr>
    </w:tbl>
    <w:p w14:paraId="77361322" w14:textId="77777777" w:rsidR="005D07A6" w:rsidRDefault="00F42774">
      <w:pPr>
        <w:pStyle w:val="finfiletr"/>
        <w:rPr>
          <w:rFonts w:eastAsiaTheme="minorEastAsia"/>
        </w:rPr>
      </w:pPr>
      <w:r>
        <w:t>Fin Application</w:t>
      </w:r>
    </w:p>
    <w:p w14:paraId="7088F702" w14:textId="77777777" w:rsidR="005D07A6" w:rsidRDefault="00F42774">
      <w:pPr>
        <w:pStyle w:val="T2"/>
      </w:pPr>
      <w:r>
        <w:t>Chapitre 3.</w:t>
      </w:r>
      <w:r>
        <w:tab/>
        <w:t>Les différents types de coûts</w:t>
      </w:r>
    </w:p>
    <w:p w14:paraId="51790B13" w14:textId="77777777" w:rsidR="005D07A6" w:rsidRDefault="00F42774">
      <w:pPr>
        <w:pStyle w:val="debutfilet"/>
      </w:pPr>
      <w:r>
        <w:t>Competences_attendues</w:t>
      </w:r>
    </w:p>
    <w:p w14:paraId="2BAAC1C7" w14:textId="77777777" w:rsidR="005D07A6" w:rsidRDefault="00F42774">
      <w:pPr>
        <w:pStyle w:val="ET"/>
      </w:pPr>
      <w:r>
        <w:t>Identifier les coûts, marges et résultats à calculer.</w:t>
      </w:r>
    </w:p>
    <w:p w14:paraId="50D8BC05" w14:textId="77777777" w:rsidR="005D07A6" w:rsidRDefault="00F42774">
      <w:pPr>
        <w:pStyle w:val="finfilet"/>
      </w:pPr>
      <w:r>
        <w:t>Fin Competences_attendues</w:t>
      </w:r>
    </w:p>
    <w:p w14:paraId="25B1E5A8" w14:textId="77777777" w:rsidR="005D07A6" w:rsidRDefault="00F42774">
      <w:pPr>
        <w:pStyle w:val="CTEspDessous"/>
      </w:pPr>
      <w:r>
        <w:t xml:space="preserve">Nous avons évoqué jusqu’à présent de façon très générale le coût des produits. Cette notion doit être précisée, dans la mesure où on calcule différents types de coûts, aux différents stades du </w:t>
      </w:r>
      <w:r>
        <w:rPr>
          <w:i/>
          <w:iCs/>
        </w:rPr>
        <w:t>process</w:t>
      </w:r>
      <w:r>
        <w:t>. On se placera principalement dans le cadre d’une entreprise industrielle.</w:t>
      </w:r>
    </w:p>
    <w:p w14:paraId="34C42FB4" w14:textId="77777777" w:rsidR="005D07A6" w:rsidRDefault="00F42774">
      <w:pPr>
        <w:pStyle w:val="debutfilet"/>
      </w:pPr>
      <w:r>
        <w:t>Methodologie</w:t>
      </w:r>
    </w:p>
    <w:p w14:paraId="6566E5C7" w14:textId="77777777" w:rsidR="005D07A6" w:rsidRDefault="00F42774">
      <w:pPr>
        <w:pStyle w:val="LibelleRubrique"/>
      </w:pPr>
      <w:r>
        <w:t>Méthodologie</w:t>
      </w:r>
    </w:p>
    <w:p w14:paraId="3789F7E2" w14:textId="77777777" w:rsidR="005D07A6" w:rsidRDefault="00F42774">
      <w:pPr>
        <w:pStyle w:val="CT"/>
      </w:pPr>
      <w:r>
        <w:rPr>
          <w:b/>
          <w:bCs/>
        </w:rPr>
        <w:t>Présentation des calculs</w:t>
      </w:r>
    </w:p>
    <w:p w14:paraId="42F764DB" w14:textId="77777777" w:rsidR="005D07A6" w:rsidRDefault="00F42774">
      <w:pPr>
        <w:pStyle w:val="CT"/>
      </w:pPr>
      <w:r>
        <w:t>Dès que possible, les calculs sont à présenter sous forme de tableaux à double entrée, avec les produits en colonnes et les éléments (directs et indirects) listés en ligne.</w:t>
      </w:r>
    </w:p>
    <w:p w14:paraId="27E4F18A" w14:textId="77777777" w:rsidR="005D07A6" w:rsidRDefault="00F42774">
      <w:pPr>
        <w:pStyle w:val="finfilet"/>
      </w:pPr>
      <w:r>
        <w:t>Fin Methodologie</w:t>
      </w:r>
    </w:p>
    <w:p w14:paraId="1512F5A8" w14:textId="77777777" w:rsidR="005D07A6" w:rsidRDefault="00F42774">
      <w:pPr>
        <w:pStyle w:val="T3"/>
      </w:pPr>
      <w:r>
        <w:t>section 1.</w:t>
      </w:r>
      <w:r>
        <w:tab/>
        <w:t>Les coûts d’approvisionnement</w:t>
      </w:r>
    </w:p>
    <w:p w14:paraId="1366DC31" w14:textId="77777777" w:rsidR="005D07A6" w:rsidRDefault="00F42774">
      <w:pPr>
        <w:pStyle w:val="CT"/>
      </w:pPr>
      <w:r>
        <w:t xml:space="preserve">On calcule un </w:t>
      </w:r>
      <w:r>
        <w:rPr>
          <w:b/>
          <w:bCs/>
        </w:rPr>
        <w:t>coût d’approvisionnement</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d’approvisionnement</w:instrText>
      </w:r>
      <w:r>
        <w:rPr>
          <w:highlight w:val="green"/>
        </w:rPr>
        <w:instrText xml:space="preserve">" </w:instrText>
      </w:r>
      <w:r>
        <w:rPr>
          <w:highlight w:val="green"/>
        </w:rPr>
        <w:fldChar w:fldCharType="end"/>
      </w:r>
      <w:r>
        <w:t xml:space="preserve"> pour tous les produits </w:t>
      </w:r>
      <w:r>
        <w:rPr>
          <w:b/>
          <w:bCs/>
        </w:rPr>
        <w:t>achetés</w:t>
      </w:r>
      <w:r>
        <w:t xml:space="preserve"> par l’entreprise pendant la période (matières premières, matières consommables comme du fioul pour le chauffage). Le coût d’achat d’un produit comprend :</w:t>
      </w:r>
    </w:p>
    <w:p w14:paraId="6C19F314" w14:textId="77777777" w:rsidR="005D07A6" w:rsidRDefault="00F42774">
      <w:pPr>
        <w:pStyle w:val="ET"/>
      </w:pPr>
      <w:r>
        <w:t>des éléments directs (prix d’achat, frais de dédouanement, courtages…) ;</w:t>
      </w:r>
    </w:p>
    <w:p w14:paraId="3A8F37B5" w14:textId="77777777" w:rsidR="005D07A6" w:rsidRDefault="00F42774">
      <w:pPr>
        <w:pStyle w:val="ET"/>
      </w:pPr>
      <w:r>
        <w:lastRenderedPageBreak/>
        <w:t>et des éléments indirects (imputation des charges indirectes des services s’occupant de l’approvisionnement).</w:t>
      </w:r>
    </w:p>
    <w:p w14:paraId="2358F4E5" w14:textId="77777777" w:rsidR="005D07A6" w:rsidRDefault="00F42774">
      <w:pPr>
        <w:pStyle w:val="CTEspDessous"/>
      </w:pPr>
      <w:r>
        <w:t>La connaissance du coût complet d’approvisionnement permet de valoriser l’entrée en stock des matières.</w:t>
      </w:r>
    </w:p>
    <w:p w14:paraId="26B7BC60" w14:textId="77777777" w:rsidR="005D07A6" w:rsidRDefault="00F42774">
      <w:pPr>
        <w:pStyle w:val="debutfilet"/>
      </w:pPr>
      <w:r>
        <w:t>Remarque</w:t>
      </w:r>
    </w:p>
    <w:p w14:paraId="71C277C7" w14:textId="77777777" w:rsidR="005D07A6" w:rsidRDefault="00F42774">
      <w:pPr>
        <w:pStyle w:val="LibelleRubrique"/>
      </w:pPr>
      <w:r>
        <w:t>Remarque</w:t>
      </w:r>
    </w:p>
    <w:p w14:paraId="4C7A0361" w14:textId="77777777" w:rsidR="005D07A6" w:rsidRDefault="00F42774">
      <w:pPr>
        <w:pStyle w:val="CT"/>
      </w:pPr>
      <w:r>
        <w:rPr>
          <w:b/>
          <w:bCs/>
        </w:rPr>
        <w:t>Achat et approvisionnement</w:t>
      </w:r>
    </w:p>
    <w:p w14:paraId="7FE08444" w14:textId="77777777" w:rsidR="005D07A6" w:rsidRDefault="00F42774">
      <w:pPr>
        <w:pStyle w:val="CT"/>
      </w:pPr>
      <w:r>
        <w:t>Ce n’est pas une obligation et il faut s’adapter à la terminologie de chaque sujet, mais il est recommandé de réserver l’expression « coûts d’achats » pour les coûts directs d’achats, et l’expression « coûts d’approvisionnement » pour le coût complet d’approvisionnement (donc la somme des coûts d’achats et des autres charges indirectes liées aux achats).</w:t>
      </w:r>
    </w:p>
    <w:p w14:paraId="633F1159" w14:textId="77777777" w:rsidR="005D07A6" w:rsidRDefault="00F42774">
      <w:pPr>
        <w:pStyle w:val="finfilet"/>
      </w:pPr>
      <w:r>
        <w:t>Fin Remarque</w:t>
      </w:r>
    </w:p>
    <w:p w14:paraId="05896BDC" w14:textId="77777777" w:rsidR="005D07A6" w:rsidRDefault="00F42774">
      <w:pPr>
        <w:pStyle w:val="T3"/>
      </w:pPr>
      <w:r>
        <w:t>section 2.</w:t>
      </w:r>
      <w:r>
        <w:tab/>
        <w:t>La tenue des comptes de stocks</w:t>
      </w:r>
    </w:p>
    <w:p w14:paraId="03FB9950" w14:textId="77777777" w:rsidR="005D07A6" w:rsidRDefault="00F42774">
      <w:pPr>
        <w:pStyle w:val="CTEspDessous"/>
      </w:pPr>
      <w:r>
        <w:t xml:space="preserve">Afin de pouvoir calculer des coûts selon une périodicité rapprochée, la comptabilité de gestion a besoin de connaître les mouvements des </w:t>
      </w:r>
      <w:r>
        <w:rPr>
          <w:b/>
          <w:bCs/>
        </w:rPr>
        <w:t>stocks</w:t>
      </w:r>
      <w:r>
        <w:t>.</w:t>
      </w:r>
      <w:r>
        <w:rPr>
          <w:highlight w:val="green"/>
        </w:rPr>
        <w:fldChar w:fldCharType="begin"/>
      </w:r>
      <w:r>
        <w:rPr>
          <w:highlight w:val="green"/>
        </w:rPr>
        <w:instrText xml:space="preserve"> XE "</w:instrText>
      </w:r>
      <w:r>
        <w:rPr>
          <w:noProof/>
          <w:highlight w:val="green"/>
        </w:rPr>
        <w:instrText>Stocks</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Compte</w:instrText>
      </w:r>
      <w:r>
        <w:rPr>
          <w:highlight w:val="green"/>
        </w:rPr>
        <w:instrText>:</w:instrText>
      </w:r>
      <w:r>
        <w:rPr>
          <w:noProof/>
          <w:highlight w:val="green"/>
        </w:rPr>
        <w:instrText>– de stocks</w:instrText>
      </w:r>
      <w:r>
        <w:rPr>
          <w:highlight w:val="green"/>
        </w:rPr>
        <w:instrText xml:space="preserve">" </w:instrText>
      </w:r>
      <w:r>
        <w:rPr>
          <w:highlight w:val="green"/>
        </w:rPr>
        <w:fldChar w:fldCharType="end"/>
      </w:r>
    </w:p>
    <w:p w14:paraId="663542FD" w14:textId="77777777" w:rsidR="005D07A6" w:rsidRDefault="00F42774">
      <w:pPr>
        <w:pStyle w:val="CTEspDessous"/>
      </w:pPr>
      <w:r>
        <w:t xml:space="preserve">Ce besoin nécessite la mise en place d’un </w:t>
      </w:r>
      <w:r>
        <w:rPr>
          <w:b/>
          <w:bCs/>
        </w:rPr>
        <w:t>inventaire permanent</w:t>
      </w:r>
      <w:r>
        <w:rPr>
          <w:highlight w:val="green"/>
        </w:rPr>
        <w:fldChar w:fldCharType="begin"/>
      </w:r>
      <w:r>
        <w:rPr>
          <w:highlight w:val="green"/>
        </w:rPr>
        <w:instrText xml:space="preserve"> XE "</w:instrText>
      </w:r>
      <w:r>
        <w:rPr>
          <w:noProof/>
          <w:highlight w:val="green"/>
        </w:rPr>
        <w:instrText>Inventaire permanent</w:instrText>
      </w:r>
      <w:r>
        <w:rPr>
          <w:highlight w:val="green"/>
        </w:rPr>
        <w:instrText xml:space="preserve">" </w:instrText>
      </w:r>
      <w:r>
        <w:rPr>
          <w:highlight w:val="green"/>
        </w:rPr>
        <w:fldChar w:fldCharType="end"/>
      </w:r>
      <w:r>
        <w:t>, c’est-à-dire une organisation comptable des comptes de stocks qui enregistre régulièrement les mouvements (entrées et sorties) en quantités et en valeurs.</w:t>
      </w:r>
    </w:p>
    <w:p w14:paraId="2457D534" w14:textId="77777777" w:rsidR="005D07A6" w:rsidRDefault="00F42774">
      <w:pPr>
        <w:pStyle w:val="CTEspDessous"/>
      </w:pPr>
      <w:r>
        <w:t>La tenue des comptes de stocks est identique pour tous les éléments stockés au cours d’un processus de production : approvisionnements (matières premières, matières consommables, emballages) et productions de l’entreprise (produits intermédiaires, produits finis).</w:t>
      </w:r>
    </w:p>
    <w:p w14:paraId="589AF7F1" w14:textId="77777777" w:rsidR="005D07A6" w:rsidRDefault="00F42774">
      <w:pPr>
        <w:pStyle w:val="CT"/>
      </w:pPr>
      <w:r>
        <w:t>Si le processus de production est en juste-à-temps, il n’y a pas de stocks à présenter.</w:t>
      </w:r>
    </w:p>
    <w:p w14:paraId="4C26C067" w14:textId="77777777" w:rsidR="005D07A6" w:rsidRDefault="00F42774">
      <w:pPr>
        <w:pStyle w:val="CTEspDessous"/>
      </w:pPr>
      <w:r>
        <w:t xml:space="preserve">Les </w:t>
      </w:r>
      <w:r>
        <w:rPr>
          <w:b/>
          <w:bCs/>
        </w:rPr>
        <w:t>matières consommables</w:t>
      </w:r>
      <w:r>
        <w:rPr>
          <w:highlight w:val="green"/>
        </w:rPr>
        <w:fldChar w:fldCharType="begin"/>
      </w:r>
      <w:r>
        <w:rPr>
          <w:highlight w:val="green"/>
        </w:rPr>
        <w:instrText xml:space="preserve"> XE "</w:instrText>
      </w:r>
      <w:r>
        <w:rPr>
          <w:noProof/>
          <w:highlight w:val="green"/>
        </w:rPr>
        <w:instrText>Matières consommables</w:instrText>
      </w:r>
      <w:r>
        <w:rPr>
          <w:highlight w:val="green"/>
        </w:rPr>
        <w:instrText xml:space="preserve">" </w:instrText>
      </w:r>
      <w:r>
        <w:rPr>
          <w:highlight w:val="green"/>
        </w:rPr>
        <w:fldChar w:fldCharType="end"/>
      </w:r>
      <w:r>
        <w:t xml:space="preserve"> (matières consommées au premier usage qui concourent à l’exploitation sans entrer dans la composition des produits, par exemple les consommations de clous dans l’ameublement) qui pourraient être considérées comme directes </w:t>
      </w:r>
      <w:r>
        <w:rPr>
          <w:b/>
          <w:bCs/>
        </w:rPr>
        <w:t>sont généralement traitées comme des charges indirectes</w:t>
      </w:r>
      <w:r>
        <w:t xml:space="preserve"> en raison de leur faible montant. En effet, un calcul précis serait réalisable, mais le coût du traitement de l’information serait alors supérieur à la valeur des consommations.</w:t>
      </w:r>
    </w:p>
    <w:p w14:paraId="05AFFFD2" w14:textId="77777777" w:rsidR="005D07A6" w:rsidRDefault="00F42774">
      <w:pPr>
        <w:pStyle w:val="CT"/>
      </w:pPr>
      <w:r>
        <w:t>La tenue des comptes de stocks est fondée sur la relation comptable :</w:t>
      </w:r>
    </w:p>
    <w:p w14:paraId="4BF5CAF1" w14:textId="77777777" w:rsidR="005D07A6" w:rsidRDefault="00F42774">
      <w:pPr>
        <w:pStyle w:val="CTEspDessous"/>
      </w:pPr>
      <w:r>
        <w:t>Total des débits = Total des crédits.</w:t>
      </w:r>
    </w:p>
    <w:p w14:paraId="2F776D79" w14:textId="77777777" w:rsidR="005D07A6" w:rsidRDefault="00F42774">
      <w:pPr>
        <w:pStyle w:val="CTEspDessous"/>
      </w:pPr>
      <w:r>
        <w:t>Appliquée aux stocks, cette relation est donnée par l’égalité suivante :</w:t>
      </w:r>
    </w:p>
    <w:p w14:paraId="13AF8058" w14:textId="77777777" w:rsidR="005D07A6" w:rsidRDefault="00F42774">
      <w:pPr>
        <w:pStyle w:val="Formule"/>
      </w:pPr>
      <w:r>
        <w:t>Stock initial + entrées = sorties + stock final</w:t>
      </w:r>
    </w:p>
    <w:p w14:paraId="4EDB6B16" w14:textId="77777777" w:rsidR="005D07A6" w:rsidRDefault="00F42774">
      <w:pPr>
        <w:pStyle w:val="T4"/>
      </w:pPr>
      <w:r>
        <w:t>I.</w:t>
      </w:r>
      <w:r>
        <w:tab/>
        <w:t>La valorisation des entrées</w:t>
      </w:r>
    </w:p>
    <w:p w14:paraId="52A810E5" w14:textId="77777777" w:rsidR="005D07A6" w:rsidRDefault="00F42774">
      <w:pPr>
        <w:pStyle w:val="CT"/>
      </w:pPr>
      <w:r>
        <w:t>La valorisation des entrées après le calcul d’un coût :</w:t>
      </w:r>
    </w:p>
    <w:p w14:paraId="149CFC3B" w14:textId="77777777" w:rsidR="005D07A6" w:rsidRDefault="00F42774">
      <w:pPr>
        <w:pStyle w:val="ET"/>
      </w:pPr>
      <w:r>
        <w:t>les éléments achetés stockés sont valorisés au coût d’achat ;</w:t>
      </w:r>
    </w:p>
    <w:p w14:paraId="65853182" w14:textId="77777777" w:rsidR="005D07A6" w:rsidRDefault="00F42774">
      <w:pPr>
        <w:pStyle w:val="ET"/>
      </w:pPr>
      <w:r>
        <w:t>les éléments fabriqués stockés sont valorisés au coût de production.</w:t>
      </w:r>
    </w:p>
    <w:p w14:paraId="41C92C68" w14:textId="77777777" w:rsidR="005D07A6" w:rsidRDefault="00F42774">
      <w:pPr>
        <w:pStyle w:val="T4"/>
      </w:pPr>
      <w:r>
        <w:t>II.</w:t>
      </w:r>
      <w:r>
        <w:tab/>
        <w:t>La valorisation des sorties</w:t>
      </w:r>
    </w:p>
    <w:p w14:paraId="5DB96600" w14:textId="77777777" w:rsidR="005D07A6" w:rsidRDefault="00F42774">
      <w:pPr>
        <w:pStyle w:val="CTEspDessous"/>
      </w:pPr>
      <w:r>
        <w:t>Plusieurs méthodes sont envisageables en comptabilité de gestion pour valoriser les sorties.</w:t>
      </w:r>
    </w:p>
    <w:p w14:paraId="2C8AEE22" w14:textId="77777777" w:rsidR="005D07A6" w:rsidRDefault="00F42774">
      <w:pPr>
        <w:pStyle w:val="T5"/>
      </w:pPr>
      <w:r>
        <w:t>A.</w:t>
      </w:r>
      <w:r>
        <w:tab/>
        <w:t>méthodes du CMUP (coût moyen unitaire pondéré)</w:t>
      </w:r>
    </w:p>
    <w:p w14:paraId="68DE69E9" w14:textId="77777777" w:rsidR="005D07A6" w:rsidRDefault="00F42774">
      <w:pPr>
        <w:pStyle w:val="CTEspDessous"/>
      </w:pPr>
      <w:r>
        <w:lastRenderedPageBreak/>
        <w:t>Cette méthode</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moyen unitaire pondéré (CMUP ou CUMP)</w:instrText>
      </w:r>
      <w:r>
        <w:rPr>
          <w:highlight w:val="green"/>
        </w:rPr>
        <w:instrText xml:space="preserve">" </w:instrText>
      </w:r>
      <w:r>
        <w:rPr>
          <w:highlight w:val="green"/>
        </w:rPr>
        <w:fldChar w:fldCharType="end"/>
      </w:r>
      <w:r>
        <w:t xml:space="preserve"> est fondée sur la fongibilité des lots achetés. Il existe deux variantes : le coût moyen unitaire pondéré de fin de période et le coût moyen unitaire pondéré calculé après chaque entrée.</w:t>
      </w:r>
    </w:p>
    <w:p w14:paraId="37920E80" w14:textId="77777777" w:rsidR="005D07A6" w:rsidRDefault="00F42774">
      <w:pPr>
        <w:pStyle w:val="T5"/>
      </w:pPr>
      <w:r>
        <w:t>B.</w:t>
      </w:r>
      <w:r>
        <w:tab/>
        <w:t>méthodes d’épuisement des lots</w:t>
      </w:r>
    </w:p>
    <w:p w14:paraId="79430BD4" w14:textId="77777777" w:rsidR="005D07A6" w:rsidRDefault="00F42774">
      <w:pPr>
        <w:pStyle w:val="CTEspDessous"/>
      </w:pPr>
      <w:r>
        <w:t xml:space="preserve">La méthode </w:t>
      </w:r>
      <w:r>
        <w:rPr>
          <w:b/>
          <w:bCs/>
        </w:rPr>
        <w:t>PEPS</w:t>
      </w:r>
      <w:r>
        <w:rPr>
          <w:highlight w:val="green"/>
        </w:rPr>
        <w:fldChar w:fldCharType="begin"/>
      </w:r>
      <w:r>
        <w:rPr>
          <w:highlight w:val="green"/>
        </w:rPr>
        <w:instrText xml:space="preserve"> XE "</w:instrText>
      </w:r>
      <w:r>
        <w:rPr>
          <w:noProof/>
          <w:highlight w:val="green"/>
        </w:rPr>
        <w:instrText>PEPS (premier entré-premier sorti)</w:instrText>
      </w:r>
      <w:r>
        <w:rPr>
          <w:highlight w:val="green"/>
        </w:rPr>
        <w:instrText xml:space="preserve">" </w:instrText>
      </w:r>
      <w:r>
        <w:rPr>
          <w:highlight w:val="green"/>
        </w:rPr>
        <w:fldChar w:fldCharType="end"/>
      </w:r>
      <w:r>
        <w:t xml:space="preserve"> (premier entré-premier sorti, ou </w:t>
      </w:r>
      <w:r>
        <w:rPr>
          <w:highlight w:val="green"/>
        </w:rPr>
        <w:fldChar w:fldCharType="begin"/>
      </w:r>
      <w:r>
        <w:rPr>
          <w:highlight w:val="green"/>
        </w:rPr>
        <w:instrText xml:space="preserve"> XE "</w:instrText>
      </w:r>
      <w:r>
        <w:rPr>
          <w:noProof/>
          <w:highlight w:val="green"/>
        </w:rPr>
        <w:instrText>FIFO (first in-first out)</w:instrText>
      </w:r>
      <w:r>
        <w:rPr>
          <w:highlight w:val="green"/>
        </w:rPr>
        <w:instrText xml:space="preserve">" </w:instrText>
      </w:r>
      <w:r>
        <w:rPr>
          <w:highlight w:val="green"/>
        </w:rPr>
        <w:fldChar w:fldCharType="end"/>
      </w:r>
      <w:r>
        <w:rPr>
          <w:b/>
          <w:bCs/>
        </w:rPr>
        <w:t>FIFO</w:t>
      </w:r>
      <w:r>
        <w:t xml:space="preserve">, </w:t>
      </w:r>
      <w:r>
        <w:rPr>
          <w:i/>
          <w:iCs/>
        </w:rPr>
        <w:t>first in-first out</w:t>
      </w:r>
      <w:r>
        <w:t>) consiste à retenir comme coût de sortie les coûts d’entrée (et non plus une moyenne pondérée) en respectant l’ordre d’ancienneté d’entrée des lots : les sorties sont prises sur les lots plus anciens.</w:t>
      </w:r>
    </w:p>
    <w:p w14:paraId="1C29C139" w14:textId="77777777" w:rsidR="005D07A6" w:rsidRDefault="00F42774">
      <w:pPr>
        <w:pStyle w:val="CTEspDessous"/>
      </w:pPr>
      <w:r>
        <w:t xml:space="preserve">La méthode </w:t>
      </w:r>
      <w:r>
        <w:rPr>
          <w:b/>
          <w:bCs/>
        </w:rPr>
        <w:t>DEPS</w:t>
      </w:r>
      <w:r>
        <w:rPr>
          <w:highlight w:val="green"/>
        </w:rPr>
        <w:fldChar w:fldCharType="begin"/>
      </w:r>
      <w:r>
        <w:rPr>
          <w:highlight w:val="green"/>
        </w:rPr>
        <w:instrText xml:space="preserve"> XE "</w:instrText>
      </w:r>
      <w:r>
        <w:rPr>
          <w:noProof/>
          <w:highlight w:val="green"/>
        </w:rPr>
        <w:instrText>DEPS (dernier entré-premier sorti)</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LIFO (last in-first out)</w:instrText>
      </w:r>
      <w:r>
        <w:rPr>
          <w:highlight w:val="green"/>
        </w:rPr>
        <w:instrText xml:space="preserve">" </w:instrText>
      </w:r>
      <w:r>
        <w:rPr>
          <w:highlight w:val="green"/>
        </w:rPr>
        <w:fldChar w:fldCharType="end"/>
      </w:r>
      <w:r>
        <w:t xml:space="preserve"> (dernier entré-premier sorti, ou </w:t>
      </w:r>
      <w:r>
        <w:rPr>
          <w:b/>
          <w:bCs/>
        </w:rPr>
        <w:t>LIFO</w:t>
      </w:r>
      <w:r>
        <w:t xml:space="preserve">, </w:t>
      </w:r>
      <w:r>
        <w:rPr>
          <w:i/>
          <w:iCs/>
        </w:rPr>
        <w:t>last in-first out</w:t>
      </w:r>
      <w:r>
        <w:t>) consiste à retenir comme coût de sortie les coûts d’entrée (et non plus une moyenne pondérée) des lots les plus récents : les sorties sont prises en commençant par le lot le plus récent. Il est à noter que cette méthode n’est admise ni comptablement ni fiscalement et nécessite de retraiter les stocks en comptabilité financière.</w:t>
      </w:r>
    </w:p>
    <w:p w14:paraId="08E66F44" w14:textId="77777777" w:rsidR="005D07A6" w:rsidRDefault="00F42774">
      <w:pPr>
        <w:pStyle w:val="T5"/>
      </w:pPr>
      <w:r>
        <w:t>C.</w:t>
      </w:r>
      <w:r>
        <w:tab/>
        <w:t>valeurs de substitution</w:t>
      </w:r>
    </w:p>
    <w:p w14:paraId="0B474917" w14:textId="77777777" w:rsidR="005D07A6" w:rsidRDefault="00F42774">
      <w:pPr>
        <w:pStyle w:val="CTEspDessous"/>
      </w:pPr>
      <w:r>
        <w:t xml:space="preserve">Le </w:t>
      </w:r>
      <w:r>
        <w:rPr>
          <w:b/>
          <w:bCs/>
        </w:rPr>
        <w:t>coût approché</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approché</w:instrText>
      </w:r>
      <w:r>
        <w:rPr>
          <w:highlight w:val="green"/>
        </w:rPr>
        <w:instrText xml:space="preserve">" </w:instrText>
      </w:r>
      <w:r>
        <w:rPr>
          <w:highlight w:val="green"/>
        </w:rPr>
        <w:fldChar w:fldCharType="end"/>
      </w:r>
      <w:r>
        <w:t xml:space="preserve"> et le coût préétabli : en attendant le calcul des coûts réels, les entreprises peuvent utiliser un coût estimé (ex. : le coût de la dernière période) ou le coût prévu. Les stocks sont régularisés dès la connaissance du coût réel.</w:t>
      </w:r>
    </w:p>
    <w:p w14:paraId="48CBB279" w14:textId="77777777" w:rsidR="005D07A6" w:rsidRDefault="00F42774">
      <w:pPr>
        <w:pStyle w:val="CTEspDessous"/>
      </w:pPr>
      <w:r>
        <w:t xml:space="preserve">La </w:t>
      </w:r>
      <w:r>
        <w:rPr>
          <w:b/>
          <w:bCs/>
        </w:rPr>
        <w:t>valeur de remplacement</w:t>
      </w:r>
      <w:r>
        <w:rPr>
          <w:highlight w:val="green"/>
        </w:rPr>
        <w:fldChar w:fldCharType="begin"/>
      </w:r>
      <w:r>
        <w:rPr>
          <w:highlight w:val="green"/>
        </w:rPr>
        <w:instrText xml:space="preserve"> XE "</w:instrText>
      </w:r>
      <w:r>
        <w:rPr>
          <w:noProof/>
          <w:highlight w:val="green"/>
        </w:rPr>
        <w:instrText>Valeur</w:instrText>
      </w:r>
      <w:r>
        <w:rPr>
          <w:highlight w:val="green"/>
        </w:rPr>
        <w:instrText>:</w:instrText>
      </w:r>
      <w:r>
        <w:rPr>
          <w:noProof/>
          <w:highlight w:val="green"/>
        </w:rPr>
        <w:instrText>– de remplacement (NIFO, next in-first out</w:instrText>
      </w:r>
      <w:r>
        <w:rPr>
          <w:highlight w:val="green"/>
        </w:rPr>
        <w:instrText xml:space="preserve">" </w:instrText>
      </w:r>
      <w:r>
        <w:rPr>
          <w:highlight w:val="green"/>
        </w:rPr>
        <w:fldChar w:fldCharType="end"/>
      </w:r>
      <w:r>
        <w:t xml:space="preserve"> (</w:t>
      </w:r>
      <w:r>
        <w:rPr>
          <w:b/>
          <w:bCs/>
        </w:rPr>
        <w:t>NIFO</w:t>
      </w:r>
      <w:r>
        <w:t xml:space="preserve">, </w:t>
      </w:r>
      <w:r>
        <w:rPr>
          <w:i/>
          <w:iCs/>
        </w:rPr>
        <w:t>next in-first out</w:t>
      </w:r>
      <w:r>
        <w:t>) consiste à anticiper l’évolution des prix pour valoriser le coût des sorties. Il est à noter que cette méthode n’est admise ni comptablement ni fiscalement et nécessite de retraiter les stocks en comptabilité financière.</w:t>
      </w:r>
    </w:p>
    <w:p w14:paraId="498AB1DC" w14:textId="77777777" w:rsidR="005D07A6" w:rsidRDefault="00F42774">
      <w:pPr>
        <w:pStyle w:val="debutfiletr"/>
      </w:pPr>
      <w:r>
        <w:t>Application _n-5</w:t>
      </w:r>
    </w:p>
    <w:p w14:paraId="68D61FF5" w14:textId="77777777" w:rsidR="005D07A6" w:rsidRDefault="00F42774">
      <w:pPr>
        <w:pStyle w:val="CT"/>
      </w:pPr>
      <w:r>
        <w:t>Les données de la période sont les suivantes :</w:t>
      </w:r>
    </w:p>
    <w:p w14:paraId="7994EE70" w14:textId="77777777" w:rsidR="005D07A6" w:rsidRDefault="00F42774">
      <w:pPr>
        <w:pStyle w:val="ET"/>
      </w:pPr>
      <w:r>
        <w:t>01/03 : stock initial de 10 000 kg de matière à 2 € le kg ;</w:t>
      </w:r>
    </w:p>
    <w:p w14:paraId="618C493A" w14:textId="77777777" w:rsidR="005D07A6" w:rsidRDefault="00F42774">
      <w:pPr>
        <w:pStyle w:val="ET"/>
      </w:pPr>
      <w:r>
        <w:t>15/03 : achat de 6 000 kg de matière à 2 € le kg ; frais d’achat : 1 200 € ;</w:t>
      </w:r>
    </w:p>
    <w:p w14:paraId="5DE230BA" w14:textId="77777777" w:rsidR="005D07A6" w:rsidRDefault="00F42774">
      <w:pPr>
        <w:pStyle w:val="ET"/>
      </w:pPr>
      <w:r>
        <w:t>20/03 : sortie de 8 000 kg de matière pour la production ;</w:t>
      </w:r>
    </w:p>
    <w:p w14:paraId="497436AC" w14:textId="77777777" w:rsidR="005D07A6" w:rsidRDefault="00F42774">
      <w:pPr>
        <w:pStyle w:val="ET"/>
      </w:pPr>
      <w:r>
        <w:t>28/03 : achat de 10 000 kg de matière à 1,90 € le kg ; frais d’achat : 1 500 €.</w:t>
      </w:r>
    </w:p>
    <w:p w14:paraId="0A623BEE" w14:textId="77777777" w:rsidR="005D07A6" w:rsidRDefault="00F42774">
      <w:pPr>
        <w:pStyle w:val="TNiv1"/>
      </w:pPr>
      <w:r>
        <w:t>PEPS</w:t>
      </w:r>
    </w:p>
    <w:tbl>
      <w:tblPr>
        <w:tblW w:w="7660" w:type="dxa"/>
        <w:tblInd w:w="1701" w:type="dxa"/>
        <w:tblLook w:val="04A0" w:firstRow="1" w:lastRow="0" w:firstColumn="1" w:lastColumn="0" w:noHBand="0" w:noVBand="1"/>
      </w:tblPr>
      <w:tblGrid>
        <w:gridCol w:w="591"/>
        <w:gridCol w:w="827"/>
        <w:gridCol w:w="673"/>
        <w:gridCol w:w="911"/>
        <w:gridCol w:w="770"/>
        <w:gridCol w:w="673"/>
        <w:gridCol w:w="911"/>
        <w:gridCol w:w="720"/>
        <w:gridCol w:w="673"/>
        <w:gridCol w:w="911"/>
      </w:tblGrid>
      <w:tr w:rsidR="005D07A6" w14:paraId="70FCA8BA" w14:textId="77777777">
        <w:tc>
          <w:tcPr>
            <w:tcW w:w="435" w:type="dxa"/>
            <w:tcBorders>
              <w:top w:val="nil"/>
              <w:left w:val="nil"/>
              <w:bottom w:val="nil"/>
              <w:right w:val="single" w:sz="4" w:space="0" w:color="auto"/>
            </w:tcBorders>
            <w:tcMar>
              <w:top w:w="0" w:type="dxa"/>
              <w:left w:w="2" w:type="dxa"/>
              <w:bottom w:w="0" w:type="dxa"/>
              <w:right w:w="2" w:type="dxa"/>
            </w:tcMar>
            <w:hideMark/>
          </w:tcPr>
          <w:p w14:paraId="75A1CBF6" w14:textId="77777777" w:rsidR="005D07A6" w:rsidRDefault="005D07A6"/>
        </w:tc>
        <w:tc>
          <w:tcPr>
            <w:tcW w:w="64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B1A868A" w14:textId="77777777" w:rsidR="005D07A6" w:rsidRDefault="00F42774">
            <w:pPr>
              <w:pStyle w:val="TA1"/>
              <w:jc w:val="center"/>
              <w:rPr>
                <w:rFonts w:eastAsiaTheme="minorEastAsia"/>
              </w:rPr>
            </w:pPr>
            <w:r>
              <w:rPr>
                <w:b/>
                <w:bCs/>
              </w:rPr>
              <w:t>Entrées</w:t>
            </w:r>
          </w:p>
        </w:tc>
        <w:tc>
          <w:tcPr>
            <w:tcW w:w="600"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3A844CF" w14:textId="77777777" w:rsidR="005D07A6" w:rsidRDefault="00F42774">
            <w:pPr>
              <w:pStyle w:val="TA1"/>
              <w:jc w:val="center"/>
              <w:rPr>
                <w:rFonts w:eastAsiaTheme="minorEastAsia"/>
              </w:rPr>
            </w:pPr>
            <w:r>
              <w:rPr>
                <w:b/>
                <w:bCs/>
              </w:rPr>
              <w:t>Sorties</w:t>
            </w:r>
          </w:p>
        </w:tc>
        <w:tc>
          <w:tcPr>
            <w:tcW w:w="52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9648987" w14:textId="77777777" w:rsidR="005D07A6" w:rsidRDefault="00F42774">
            <w:pPr>
              <w:pStyle w:val="TA1"/>
              <w:jc w:val="center"/>
              <w:rPr>
                <w:rFonts w:eastAsiaTheme="minorEastAsia"/>
              </w:rPr>
            </w:pPr>
            <w:r>
              <w:rPr>
                <w:b/>
                <w:bCs/>
              </w:rPr>
              <w:t>Stocks</w:t>
            </w:r>
          </w:p>
        </w:tc>
      </w:tr>
      <w:tr w:rsidR="005D07A6" w14:paraId="2765DBEC" w14:textId="77777777">
        <w:tc>
          <w:tcPr>
            <w:tcW w:w="435" w:type="dxa"/>
            <w:tcBorders>
              <w:top w:val="nil"/>
              <w:left w:val="nil"/>
              <w:bottom w:val="single" w:sz="4" w:space="0" w:color="auto"/>
              <w:right w:val="single" w:sz="4" w:space="0" w:color="auto"/>
            </w:tcBorders>
            <w:tcMar>
              <w:top w:w="0" w:type="dxa"/>
              <w:left w:w="2" w:type="dxa"/>
              <w:bottom w:w="0" w:type="dxa"/>
              <w:right w:w="2" w:type="dxa"/>
            </w:tcMar>
            <w:hideMark/>
          </w:tcPr>
          <w:p w14:paraId="27E1D99D" w14:textId="77777777" w:rsidR="005D07A6" w:rsidRDefault="005D07A6"/>
        </w:tc>
        <w:tc>
          <w:tcPr>
            <w:tcW w:w="64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E662132" w14:textId="77777777" w:rsidR="005D07A6" w:rsidRDefault="00F42774">
            <w:pPr>
              <w:pStyle w:val="TA1"/>
              <w:jc w:val="center"/>
              <w:rPr>
                <w:rFonts w:eastAsiaTheme="minorEastAsia"/>
              </w:rPr>
            </w:pPr>
            <w:r>
              <w:rPr>
                <w:b/>
                <w:bCs/>
              </w:rPr>
              <w:t>Q</w:t>
            </w:r>
          </w:p>
        </w:tc>
        <w:tc>
          <w:tcPr>
            <w:tcW w:w="52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F1447BD" w14:textId="77777777" w:rsidR="005D07A6" w:rsidRDefault="00F42774">
            <w:pPr>
              <w:pStyle w:val="TA1"/>
              <w:jc w:val="center"/>
              <w:rPr>
                <w:rFonts w:eastAsiaTheme="minorEastAsia"/>
              </w:rPr>
            </w:pPr>
            <w:r>
              <w:rPr>
                <w:b/>
                <w:bCs/>
              </w:rPr>
              <w:t>CU</w:t>
            </w:r>
          </w:p>
        </w:tc>
        <w:tc>
          <w:tcPr>
            <w:tcW w:w="64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8110FED" w14:textId="77777777" w:rsidR="005D07A6" w:rsidRDefault="00F42774">
            <w:pPr>
              <w:pStyle w:val="TA1"/>
              <w:jc w:val="center"/>
              <w:rPr>
                <w:rFonts w:eastAsiaTheme="minorEastAsia"/>
              </w:rPr>
            </w:pPr>
            <w:r>
              <w:rPr>
                <w:b/>
                <w:bCs/>
              </w:rPr>
              <w:t>Montant</w:t>
            </w:r>
          </w:p>
        </w:tc>
        <w:tc>
          <w:tcPr>
            <w:tcW w:w="60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19CD104" w14:textId="77777777" w:rsidR="005D07A6" w:rsidRDefault="00F42774">
            <w:pPr>
              <w:pStyle w:val="TA1"/>
              <w:jc w:val="center"/>
              <w:rPr>
                <w:rFonts w:eastAsiaTheme="minorEastAsia"/>
              </w:rPr>
            </w:pPr>
            <w:r>
              <w:rPr>
                <w:b/>
                <w:bCs/>
              </w:rPr>
              <w:t>Q</w:t>
            </w:r>
          </w:p>
        </w:tc>
        <w:tc>
          <w:tcPr>
            <w:tcW w:w="52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80B38BC" w14:textId="77777777" w:rsidR="005D07A6" w:rsidRDefault="00F42774">
            <w:pPr>
              <w:pStyle w:val="TA1"/>
              <w:jc w:val="center"/>
              <w:rPr>
                <w:rFonts w:eastAsiaTheme="minorEastAsia"/>
              </w:rPr>
            </w:pPr>
            <w:r>
              <w:rPr>
                <w:b/>
                <w:bCs/>
              </w:rPr>
              <w:t>CU</w:t>
            </w:r>
          </w:p>
        </w:tc>
        <w:tc>
          <w:tcPr>
            <w:tcW w:w="64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18C3335" w14:textId="77777777" w:rsidR="005D07A6" w:rsidRDefault="00F42774">
            <w:pPr>
              <w:pStyle w:val="TA1"/>
              <w:jc w:val="center"/>
              <w:rPr>
                <w:rFonts w:eastAsiaTheme="minorEastAsia"/>
              </w:rPr>
            </w:pPr>
            <w:r>
              <w:rPr>
                <w:b/>
                <w:bCs/>
              </w:rPr>
              <w:t>Montant</w:t>
            </w:r>
          </w:p>
        </w:tc>
        <w:tc>
          <w:tcPr>
            <w:tcW w:w="52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A95207D" w14:textId="77777777" w:rsidR="005D07A6" w:rsidRDefault="00F42774">
            <w:pPr>
              <w:pStyle w:val="TA1"/>
              <w:jc w:val="center"/>
              <w:rPr>
                <w:rFonts w:eastAsiaTheme="minorEastAsia"/>
              </w:rPr>
            </w:pPr>
            <w:r>
              <w:rPr>
                <w:b/>
                <w:bCs/>
              </w:rPr>
              <w:t>Q</w:t>
            </w:r>
          </w:p>
        </w:tc>
        <w:tc>
          <w:tcPr>
            <w:tcW w:w="52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60C4A01" w14:textId="77777777" w:rsidR="005D07A6" w:rsidRDefault="00F42774">
            <w:pPr>
              <w:pStyle w:val="TA1"/>
              <w:jc w:val="center"/>
              <w:rPr>
                <w:rFonts w:eastAsiaTheme="minorEastAsia"/>
              </w:rPr>
            </w:pPr>
            <w:r>
              <w:rPr>
                <w:b/>
                <w:bCs/>
              </w:rPr>
              <w:t>CU</w:t>
            </w:r>
          </w:p>
        </w:tc>
        <w:tc>
          <w:tcPr>
            <w:tcW w:w="67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07FF1A3" w14:textId="77777777" w:rsidR="005D07A6" w:rsidRDefault="00F42774">
            <w:pPr>
              <w:pStyle w:val="TA1"/>
              <w:jc w:val="center"/>
              <w:rPr>
                <w:rFonts w:eastAsiaTheme="minorEastAsia"/>
              </w:rPr>
            </w:pPr>
            <w:r>
              <w:rPr>
                <w:b/>
                <w:bCs/>
              </w:rPr>
              <w:t>Montant</w:t>
            </w:r>
          </w:p>
        </w:tc>
      </w:tr>
      <w:tr w:rsidR="005D07A6" w14:paraId="0C8CEC6E" w14:textId="77777777">
        <w:tc>
          <w:tcPr>
            <w:tcW w:w="4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9B2C12F" w14:textId="77777777" w:rsidR="005D07A6" w:rsidRDefault="00F42774">
            <w:pPr>
              <w:pStyle w:val="TA1"/>
              <w:rPr>
                <w:rFonts w:eastAsiaTheme="minorEastAsia"/>
              </w:rPr>
            </w:pPr>
            <w:r>
              <w:t>01/03</w:t>
            </w:r>
          </w:p>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9A9D063"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2AC3529" w14:textId="77777777" w:rsidR="005D07A6" w:rsidRDefault="005D07A6"/>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38065DF" w14:textId="77777777" w:rsidR="005D07A6" w:rsidRDefault="005D07A6"/>
        </w:tc>
        <w:tc>
          <w:tcPr>
            <w:tcW w:w="6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FD0FF23"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FD8EDD6" w14:textId="77777777" w:rsidR="005D07A6" w:rsidRDefault="005D07A6"/>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028D1A2"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8FEF1BF" w14:textId="77777777" w:rsidR="005D07A6" w:rsidRDefault="00F42774">
            <w:pPr>
              <w:pStyle w:val="TA1"/>
              <w:jc w:val="right"/>
              <w:rPr>
                <w:rFonts w:eastAsiaTheme="minorEastAsia"/>
              </w:rPr>
            </w:pPr>
            <w:r>
              <w:t>10 000</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78CE136" w14:textId="77777777" w:rsidR="005D07A6" w:rsidRDefault="00F42774">
            <w:pPr>
              <w:pStyle w:val="TA1"/>
              <w:jc w:val="right"/>
              <w:rPr>
                <w:rFonts w:eastAsiaTheme="minorEastAsia"/>
              </w:rPr>
            </w:pPr>
            <w:r>
              <w:t>2</w:t>
            </w:r>
          </w:p>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2A8B0A1" w14:textId="77777777" w:rsidR="005D07A6" w:rsidRDefault="00F42774">
            <w:pPr>
              <w:pStyle w:val="TA1"/>
              <w:jc w:val="right"/>
              <w:rPr>
                <w:rFonts w:eastAsiaTheme="minorEastAsia"/>
              </w:rPr>
            </w:pPr>
            <w:r>
              <w:t>20 000</w:t>
            </w:r>
          </w:p>
        </w:tc>
      </w:tr>
      <w:tr w:rsidR="005D07A6" w14:paraId="0BDC69BF" w14:textId="77777777">
        <w:tc>
          <w:tcPr>
            <w:tcW w:w="43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556E692" w14:textId="77777777" w:rsidR="005D07A6" w:rsidRDefault="00F42774">
            <w:pPr>
              <w:pStyle w:val="TA1"/>
              <w:rPr>
                <w:rFonts w:eastAsiaTheme="minorEastAsia"/>
              </w:rPr>
            </w:pPr>
            <w:r>
              <w:t>15/03</w:t>
            </w:r>
          </w:p>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1D821C4" w14:textId="77777777" w:rsidR="005D07A6" w:rsidRDefault="00F42774">
            <w:pPr>
              <w:pStyle w:val="TA1"/>
              <w:jc w:val="right"/>
              <w:rPr>
                <w:rFonts w:eastAsiaTheme="minorEastAsia"/>
              </w:rPr>
            </w:pPr>
            <w:r>
              <w:t>6 000</w:t>
            </w:r>
          </w:p>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B9434EC" w14:textId="77777777" w:rsidR="005D07A6" w:rsidRDefault="00F42774">
            <w:pPr>
              <w:pStyle w:val="TA1"/>
              <w:jc w:val="right"/>
              <w:rPr>
                <w:rFonts w:eastAsiaTheme="minorEastAsia"/>
              </w:rPr>
            </w:pPr>
            <w:r>
              <w:t>2,20</w:t>
            </w:r>
          </w:p>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FBEF79C" w14:textId="77777777" w:rsidR="005D07A6" w:rsidRDefault="00F42774">
            <w:pPr>
              <w:pStyle w:val="TA1"/>
              <w:jc w:val="right"/>
              <w:rPr>
                <w:rFonts w:eastAsiaTheme="minorEastAsia"/>
              </w:rPr>
            </w:pPr>
            <w:r>
              <w:t>13 200</w:t>
            </w:r>
          </w:p>
        </w:tc>
        <w:tc>
          <w:tcPr>
            <w:tcW w:w="6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C2DE626" w14:textId="77777777" w:rsidR="005D07A6" w:rsidRDefault="005D07A6"/>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7E32EC7" w14:textId="77777777" w:rsidR="005D07A6" w:rsidRDefault="005D07A6"/>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1863C38" w14:textId="77777777" w:rsidR="005D07A6" w:rsidRDefault="005D07A6"/>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5C10577" w14:textId="77777777" w:rsidR="005D07A6" w:rsidRDefault="00F42774">
            <w:pPr>
              <w:pStyle w:val="TA1"/>
              <w:jc w:val="right"/>
              <w:rPr>
                <w:rFonts w:eastAsiaTheme="minorEastAsia"/>
              </w:rPr>
            </w:pPr>
            <w:r>
              <w:t>10 000</w:t>
            </w:r>
          </w:p>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8FB66E4" w14:textId="77777777" w:rsidR="005D07A6" w:rsidRDefault="00F42774">
            <w:pPr>
              <w:pStyle w:val="TA1"/>
              <w:jc w:val="right"/>
              <w:rPr>
                <w:rFonts w:eastAsiaTheme="minorEastAsia"/>
              </w:rPr>
            </w:pPr>
            <w:r>
              <w:t>2</w:t>
            </w:r>
          </w:p>
        </w:tc>
        <w:tc>
          <w:tcPr>
            <w:tcW w:w="6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FA72FAA" w14:textId="77777777" w:rsidR="005D07A6" w:rsidRDefault="00F42774">
            <w:pPr>
              <w:pStyle w:val="TA1"/>
              <w:jc w:val="right"/>
              <w:rPr>
                <w:rFonts w:eastAsiaTheme="minorEastAsia"/>
              </w:rPr>
            </w:pPr>
            <w:r>
              <w:t>20 000</w:t>
            </w:r>
          </w:p>
        </w:tc>
      </w:tr>
      <w:tr w:rsidR="005D07A6" w14:paraId="58AB0D86" w14:textId="77777777">
        <w:tc>
          <w:tcPr>
            <w:tcW w:w="435" w:type="dxa"/>
            <w:tcBorders>
              <w:top w:val="nil"/>
              <w:left w:val="single" w:sz="4" w:space="0" w:color="auto"/>
              <w:bottom w:val="nil"/>
              <w:right w:val="single" w:sz="4" w:space="0" w:color="auto"/>
            </w:tcBorders>
            <w:tcMar>
              <w:top w:w="0" w:type="dxa"/>
              <w:left w:w="2" w:type="dxa"/>
              <w:bottom w:w="0" w:type="dxa"/>
              <w:right w:w="2" w:type="dxa"/>
            </w:tcMar>
            <w:hideMark/>
          </w:tcPr>
          <w:p w14:paraId="21D187D3" w14:textId="77777777" w:rsidR="005D07A6" w:rsidRDefault="005D07A6"/>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7E546F68" w14:textId="77777777" w:rsidR="005D07A6" w:rsidRDefault="005D07A6"/>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0842ED1C" w14:textId="77777777" w:rsidR="005D07A6" w:rsidRDefault="005D07A6"/>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0A8EF642" w14:textId="77777777" w:rsidR="005D07A6" w:rsidRDefault="005D07A6"/>
        </w:tc>
        <w:tc>
          <w:tcPr>
            <w:tcW w:w="600" w:type="dxa"/>
            <w:tcBorders>
              <w:top w:val="nil"/>
              <w:left w:val="single" w:sz="4" w:space="0" w:color="auto"/>
              <w:bottom w:val="nil"/>
              <w:right w:val="single" w:sz="4" w:space="0" w:color="auto"/>
            </w:tcBorders>
            <w:tcMar>
              <w:top w:w="0" w:type="dxa"/>
              <w:left w:w="2" w:type="dxa"/>
              <w:bottom w:w="0" w:type="dxa"/>
              <w:right w:w="2" w:type="dxa"/>
            </w:tcMar>
            <w:hideMark/>
          </w:tcPr>
          <w:p w14:paraId="298A0676" w14:textId="77777777" w:rsidR="005D07A6" w:rsidRDefault="005D07A6"/>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2F26B775" w14:textId="77777777" w:rsidR="005D07A6" w:rsidRDefault="005D07A6"/>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7B58CE21" w14:textId="77777777" w:rsidR="005D07A6" w:rsidRDefault="005D07A6"/>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8E8C4E5" w14:textId="77777777" w:rsidR="005D07A6" w:rsidRDefault="00F42774">
            <w:pPr>
              <w:pStyle w:val="TA1"/>
              <w:jc w:val="right"/>
              <w:rPr>
                <w:rFonts w:eastAsiaTheme="minorEastAsia"/>
              </w:rPr>
            </w:pPr>
            <w:r>
              <w:t>6 000</w:t>
            </w:r>
          </w:p>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34D6573D" w14:textId="77777777" w:rsidR="005D07A6" w:rsidRDefault="00F42774">
            <w:pPr>
              <w:pStyle w:val="TA1"/>
              <w:jc w:val="right"/>
              <w:rPr>
                <w:rFonts w:eastAsiaTheme="minorEastAsia"/>
              </w:rPr>
            </w:pPr>
            <w:r>
              <w:t>2,20</w:t>
            </w:r>
          </w:p>
        </w:tc>
        <w:tc>
          <w:tcPr>
            <w:tcW w:w="6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DDD9508" w14:textId="77777777" w:rsidR="005D07A6" w:rsidRDefault="00F42774">
            <w:pPr>
              <w:pStyle w:val="TA1"/>
              <w:jc w:val="right"/>
              <w:rPr>
                <w:rFonts w:eastAsiaTheme="minorEastAsia"/>
              </w:rPr>
            </w:pPr>
            <w:r>
              <w:t>13 200</w:t>
            </w:r>
          </w:p>
        </w:tc>
      </w:tr>
      <w:tr w:rsidR="005D07A6" w14:paraId="37AEF9CE" w14:textId="77777777">
        <w:tc>
          <w:tcPr>
            <w:tcW w:w="43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532C1AB" w14:textId="77777777" w:rsidR="005D07A6" w:rsidRDefault="005D07A6"/>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73C9DDA" w14:textId="77777777" w:rsidR="005D07A6" w:rsidRDefault="005D07A6"/>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B80A124" w14:textId="77777777" w:rsidR="005D07A6" w:rsidRDefault="005D07A6"/>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0B2C01D" w14:textId="77777777" w:rsidR="005D07A6" w:rsidRDefault="005D07A6"/>
        </w:tc>
        <w:tc>
          <w:tcPr>
            <w:tcW w:w="6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480F0E1" w14:textId="77777777" w:rsidR="005D07A6" w:rsidRDefault="005D07A6"/>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1A5A123" w14:textId="77777777" w:rsidR="005D07A6" w:rsidRDefault="005D07A6"/>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A23746F"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D36B36C" w14:textId="77777777" w:rsidR="005D07A6" w:rsidRDefault="00F42774">
            <w:pPr>
              <w:pStyle w:val="TA1"/>
              <w:jc w:val="right"/>
              <w:rPr>
                <w:rFonts w:eastAsiaTheme="minorEastAsia"/>
              </w:rPr>
            </w:pPr>
            <w:r>
              <w:t>16 000</w:t>
            </w:r>
          </w:p>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468E0728" w14:textId="77777777" w:rsidR="005D07A6" w:rsidRDefault="005D07A6"/>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1B569F7" w14:textId="77777777" w:rsidR="005D07A6" w:rsidRDefault="00F42774">
            <w:pPr>
              <w:pStyle w:val="TA1"/>
              <w:jc w:val="right"/>
              <w:rPr>
                <w:rFonts w:eastAsiaTheme="minorEastAsia"/>
              </w:rPr>
            </w:pPr>
            <w:r>
              <w:t>33 200</w:t>
            </w:r>
          </w:p>
        </w:tc>
      </w:tr>
      <w:tr w:rsidR="005D07A6" w14:paraId="1D0E7E56" w14:textId="77777777">
        <w:tc>
          <w:tcPr>
            <w:tcW w:w="43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EB21BD7" w14:textId="77777777" w:rsidR="005D07A6" w:rsidRDefault="00F42774">
            <w:pPr>
              <w:pStyle w:val="TA1"/>
              <w:rPr>
                <w:rFonts w:eastAsiaTheme="minorEastAsia"/>
              </w:rPr>
            </w:pPr>
            <w:r>
              <w:t>20/03</w:t>
            </w:r>
          </w:p>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1E2F64D" w14:textId="77777777" w:rsidR="005D07A6" w:rsidRDefault="005D07A6"/>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B0FB0BB" w14:textId="77777777" w:rsidR="005D07A6" w:rsidRDefault="005D07A6"/>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3FBB7B9" w14:textId="77777777" w:rsidR="005D07A6" w:rsidRDefault="005D07A6"/>
        </w:tc>
        <w:tc>
          <w:tcPr>
            <w:tcW w:w="6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AC3FA1E" w14:textId="77777777" w:rsidR="005D07A6" w:rsidRDefault="00F42774">
            <w:pPr>
              <w:pStyle w:val="TA1"/>
              <w:jc w:val="right"/>
              <w:rPr>
                <w:rFonts w:eastAsiaTheme="minorEastAsia"/>
              </w:rPr>
            </w:pPr>
            <w:r>
              <w:t>8 000</w:t>
            </w:r>
          </w:p>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B5F166F" w14:textId="77777777" w:rsidR="005D07A6" w:rsidRDefault="00F42774">
            <w:pPr>
              <w:pStyle w:val="TA1"/>
              <w:jc w:val="right"/>
              <w:rPr>
                <w:rFonts w:eastAsiaTheme="minorEastAsia"/>
              </w:rPr>
            </w:pPr>
            <w:r>
              <w:t>2</w:t>
            </w:r>
          </w:p>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9EC6961" w14:textId="77777777" w:rsidR="005D07A6" w:rsidRDefault="00F42774">
            <w:pPr>
              <w:pStyle w:val="TA1"/>
              <w:jc w:val="right"/>
              <w:rPr>
                <w:rFonts w:eastAsiaTheme="minorEastAsia"/>
              </w:rPr>
            </w:pPr>
            <w:r>
              <w:t>16 000</w:t>
            </w:r>
          </w:p>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D938BE7" w14:textId="77777777" w:rsidR="005D07A6" w:rsidRDefault="00F42774">
            <w:pPr>
              <w:pStyle w:val="TA1"/>
              <w:jc w:val="right"/>
              <w:rPr>
                <w:rFonts w:eastAsiaTheme="minorEastAsia"/>
              </w:rPr>
            </w:pPr>
            <w:r>
              <w:t>2 000</w:t>
            </w:r>
          </w:p>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06AD257" w14:textId="77777777" w:rsidR="005D07A6" w:rsidRDefault="00F42774">
            <w:pPr>
              <w:pStyle w:val="TA1"/>
              <w:jc w:val="right"/>
              <w:rPr>
                <w:rFonts w:eastAsiaTheme="minorEastAsia"/>
              </w:rPr>
            </w:pPr>
            <w:r>
              <w:t>2</w:t>
            </w:r>
          </w:p>
        </w:tc>
        <w:tc>
          <w:tcPr>
            <w:tcW w:w="6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D144100" w14:textId="77777777" w:rsidR="005D07A6" w:rsidRDefault="00F42774">
            <w:pPr>
              <w:pStyle w:val="TA1"/>
              <w:jc w:val="right"/>
              <w:rPr>
                <w:rFonts w:eastAsiaTheme="minorEastAsia"/>
              </w:rPr>
            </w:pPr>
            <w:r>
              <w:t>4 000</w:t>
            </w:r>
          </w:p>
        </w:tc>
      </w:tr>
      <w:tr w:rsidR="005D07A6" w14:paraId="70014926" w14:textId="77777777">
        <w:tc>
          <w:tcPr>
            <w:tcW w:w="435" w:type="dxa"/>
            <w:tcBorders>
              <w:top w:val="nil"/>
              <w:left w:val="single" w:sz="4" w:space="0" w:color="auto"/>
              <w:bottom w:val="nil"/>
              <w:right w:val="single" w:sz="4" w:space="0" w:color="auto"/>
            </w:tcBorders>
            <w:tcMar>
              <w:top w:w="0" w:type="dxa"/>
              <w:left w:w="2" w:type="dxa"/>
              <w:bottom w:w="0" w:type="dxa"/>
              <w:right w:w="2" w:type="dxa"/>
            </w:tcMar>
            <w:hideMark/>
          </w:tcPr>
          <w:p w14:paraId="50115AD8" w14:textId="77777777" w:rsidR="005D07A6" w:rsidRDefault="005D07A6"/>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44D6F3C0" w14:textId="77777777" w:rsidR="005D07A6" w:rsidRDefault="005D07A6"/>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0551DA14" w14:textId="77777777" w:rsidR="005D07A6" w:rsidRDefault="005D07A6"/>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3027F620" w14:textId="77777777" w:rsidR="005D07A6" w:rsidRDefault="005D07A6"/>
        </w:tc>
        <w:tc>
          <w:tcPr>
            <w:tcW w:w="600" w:type="dxa"/>
            <w:tcBorders>
              <w:top w:val="nil"/>
              <w:left w:val="single" w:sz="4" w:space="0" w:color="auto"/>
              <w:bottom w:val="nil"/>
              <w:right w:val="single" w:sz="4" w:space="0" w:color="auto"/>
            </w:tcBorders>
            <w:tcMar>
              <w:top w:w="0" w:type="dxa"/>
              <w:left w:w="2" w:type="dxa"/>
              <w:bottom w:w="0" w:type="dxa"/>
              <w:right w:w="2" w:type="dxa"/>
            </w:tcMar>
            <w:hideMark/>
          </w:tcPr>
          <w:p w14:paraId="081A00B2" w14:textId="77777777" w:rsidR="005D07A6" w:rsidRDefault="005D07A6"/>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689962AF" w14:textId="77777777" w:rsidR="005D07A6" w:rsidRDefault="005D07A6"/>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5F6BD25A" w14:textId="77777777" w:rsidR="005D07A6" w:rsidRDefault="005D07A6"/>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671AD6C" w14:textId="77777777" w:rsidR="005D07A6" w:rsidRDefault="00F42774">
            <w:pPr>
              <w:pStyle w:val="TA1"/>
              <w:jc w:val="right"/>
              <w:rPr>
                <w:rFonts w:eastAsiaTheme="minorEastAsia"/>
              </w:rPr>
            </w:pPr>
            <w:r>
              <w:t>6 000</w:t>
            </w:r>
          </w:p>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1216E333" w14:textId="77777777" w:rsidR="005D07A6" w:rsidRDefault="00F42774">
            <w:pPr>
              <w:pStyle w:val="TA1"/>
              <w:jc w:val="right"/>
              <w:rPr>
                <w:rFonts w:eastAsiaTheme="minorEastAsia"/>
              </w:rPr>
            </w:pPr>
            <w:r>
              <w:t>2,20</w:t>
            </w:r>
          </w:p>
        </w:tc>
        <w:tc>
          <w:tcPr>
            <w:tcW w:w="6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316E2A3" w14:textId="77777777" w:rsidR="005D07A6" w:rsidRDefault="00F42774">
            <w:pPr>
              <w:pStyle w:val="TA1"/>
              <w:jc w:val="right"/>
              <w:rPr>
                <w:rFonts w:eastAsiaTheme="minorEastAsia"/>
              </w:rPr>
            </w:pPr>
            <w:r>
              <w:t>13 200</w:t>
            </w:r>
          </w:p>
        </w:tc>
      </w:tr>
      <w:tr w:rsidR="005D07A6" w14:paraId="4E6C6AF0" w14:textId="77777777">
        <w:tc>
          <w:tcPr>
            <w:tcW w:w="43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C603102" w14:textId="77777777" w:rsidR="005D07A6" w:rsidRDefault="005D07A6"/>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14523D3" w14:textId="77777777" w:rsidR="005D07A6" w:rsidRDefault="005D07A6"/>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47C0024" w14:textId="77777777" w:rsidR="005D07A6" w:rsidRDefault="005D07A6"/>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41E182E" w14:textId="77777777" w:rsidR="005D07A6" w:rsidRDefault="005D07A6"/>
        </w:tc>
        <w:tc>
          <w:tcPr>
            <w:tcW w:w="6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19271E7" w14:textId="77777777" w:rsidR="005D07A6" w:rsidRDefault="005D07A6"/>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A2898E9" w14:textId="77777777" w:rsidR="005D07A6" w:rsidRDefault="005D07A6"/>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27F155D"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06347DB" w14:textId="77777777" w:rsidR="005D07A6" w:rsidRDefault="00F42774">
            <w:pPr>
              <w:pStyle w:val="TA1"/>
              <w:jc w:val="right"/>
              <w:rPr>
                <w:rFonts w:eastAsiaTheme="minorEastAsia"/>
              </w:rPr>
            </w:pPr>
            <w:r>
              <w:t>8 000</w:t>
            </w:r>
          </w:p>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BC889CE" w14:textId="77777777" w:rsidR="005D07A6" w:rsidRDefault="005D07A6"/>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75B8E3C" w14:textId="77777777" w:rsidR="005D07A6" w:rsidRDefault="00F42774">
            <w:pPr>
              <w:pStyle w:val="TA1"/>
              <w:jc w:val="right"/>
              <w:rPr>
                <w:rFonts w:eastAsiaTheme="minorEastAsia"/>
              </w:rPr>
            </w:pPr>
            <w:r>
              <w:t>17 200</w:t>
            </w:r>
          </w:p>
        </w:tc>
      </w:tr>
      <w:tr w:rsidR="005D07A6" w14:paraId="389D257D" w14:textId="77777777">
        <w:tc>
          <w:tcPr>
            <w:tcW w:w="43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04F5C8B" w14:textId="77777777" w:rsidR="005D07A6" w:rsidRDefault="00F42774">
            <w:pPr>
              <w:pStyle w:val="TA1"/>
              <w:rPr>
                <w:rFonts w:eastAsiaTheme="minorEastAsia"/>
              </w:rPr>
            </w:pPr>
            <w:r>
              <w:t>28/03</w:t>
            </w:r>
          </w:p>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F9E14CA" w14:textId="77777777" w:rsidR="005D07A6" w:rsidRDefault="00F42774">
            <w:pPr>
              <w:pStyle w:val="TA1"/>
              <w:jc w:val="right"/>
              <w:rPr>
                <w:rFonts w:eastAsiaTheme="minorEastAsia"/>
              </w:rPr>
            </w:pPr>
            <w:r>
              <w:t>10 000</w:t>
            </w:r>
          </w:p>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E90707D" w14:textId="77777777" w:rsidR="005D07A6" w:rsidRDefault="00F42774">
            <w:pPr>
              <w:pStyle w:val="TA1"/>
              <w:jc w:val="right"/>
              <w:rPr>
                <w:rFonts w:eastAsiaTheme="minorEastAsia"/>
              </w:rPr>
            </w:pPr>
            <w:r>
              <w:t>2,05</w:t>
            </w:r>
          </w:p>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6381C7D" w14:textId="77777777" w:rsidR="005D07A6" w:rsidRDefault="00F42774">
            <w:pPr>
              <w:pStyle w:val="TA1"/>
              <w:jc w:val="right"/>
              <w:rPr>
                <w:rFonts w:eastAsiaTheme="minorEastAsia"/>
              </w:rPr>
            </w:pPr>
            <w:r>
              <w:t>20 500</w:t>
            </w:r>
          </w:p>
        </w:tc>
        <w:tc>
          <w:tcPr>
            <w:tcW w:w="6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1A9C046" w14:textId="77777777" w:rsidR="005D07A6" w:rsidRDefault="005D07A6"/>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842279A" w14:textId="77777777" w:rsidR="005D07A6" w:rsidRDefault="005D07A6"/>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CF6278C" w14:textId="77777777" w:rsidR="005D07A6" w:rsidRDefault="005D07A6"/>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A57EF37" w14:textId="77777777" w:rsidR="005D07A6" w:rsidRDefault="00F42774">
            <w:pPr>
              <w:pStyle w:val="TA1"/>
              <w:jc w:val="right"/>
              <w:rPr>
                <w:rFonts w:eastAsiaTheme="minorEastAsia"/>
              </w:rPr>
            </w:pPr>
            <w:r>
              <w:t>2 000</w:t>
            </w:r>
          </w:p>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A80E428" w14:textId="77777777" w:rsidR="005D07A6" w:rsidRDefault="00F42774">
            <w:pPr>
              <w:pStyle w:val="TA1"/>
              <w:jc w:val="right"/>
              <w:rPr>
                <w:rFonts w:eastAsiaTheme="minorEastAsia"/>
              </w:rPr>
            </w:pPr>
            <w:r>
              <w:t>2</w:t>
            </w:r>
          </w:p>
        </w:tc>
        <w:tc>
          <w:tcPr>
            <w:tcW w:w="6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DBD7779" w14:textId="77777777" w:rsidR="005D07A6" w:rsidRDefault="00F42774">
            <w:pPr>
              <w:pStyle w:val="TA1"/>
              <w:jc w:val="right"/>
              <w:rPr>
                <w:rFonts w:eastAsiaTheme="minorEastAsia"/>
              </w:rPr>
            </w:pPr>
            <w:r>
              <w:t>4 000</w:t>
            </w:r>
          </w:p>
        </w:tc>
      </w:tr>
      <w:tr w:rsidR="005D07A6" w14:paraId="14E7D0CB" w14:textId="77777777">
        <w:tc>
          <w:tcPr>
            <w:tcW w:w="435" w:type="dxa"/>
            <w:tcBorders>
              <w:top w:val="nil"/>
              <w:left w:val="single" w:sz="4" w:space="0" w:color="auto"/>
              <w:bottom w:val="nil"/>
              <w:right w:val="single" w:sz="4" w:space="0" w:color="auto"/>
            </w:tcBorders>
            <w:tcMar>
              <w:top w:w="0" w:type="dxa"/>
              <w:left w:w="2" w:type="dxa"/>
              <w:bottom w:w="0" w:type="dxa"/>
              <w:right w:w="2" w:type="dxa"/>
            </w:tcMar>
            <w:hideMark/>
          </w:tcPr>
          <w:p w14:paraId="7FB3FFA7" w14:textId="77777777" w:rsidR="005D07A6" w:rsidRDefault="005D07A6"/>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3763A24E" w14:textId="77777777" w:rsidR="005D07A6" w:rsidRDefault="005D07A6"/>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04564EE6" w14:textId="77777777" w:rsidR="005D07A6" w:rsidRDefault="005D07A6"/>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7E1D88BF" w14:textId="77777777" w:rsidR="005D07A6" w:rsidRDefault="005D07A6"/>
        </w:tc>
        <w:tc>
          <w:tcPr>
            <w:tcW w:w="600" w:type="dxa"/>
            <w:tcBorders>
              <w:top w:val="nil"/>
              <w:left w:val="single" w:sz="4" w:space="0" w:color="auto"/>
              <w:bottom w:val="nil"/>
              <w:right w:val="single" w:sz="4" w:space="0" w:color="auto"/>
            </w:tcBorders>
            <w:tcMar>
              <w:top w:w="0" w:type="dxa"/>
              <w:left w:w="2" w:type="dxa"/>
              <w:bottom w:w="0" w:type="dxa"/>
              <w:right w:w="2" w:type="dxa"/>
            </w:tcMar>
            <w:hideMark/>
          </w:tcPr>
          <w:p w14:paraId="4E13F442" w14:textId="77777777" w:rsidR="005D07A6" w:rsidRDefault="005D07A6"/>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6E8E5EF7" w14:textId="77777777" w:rsidR="005D07A6" w:rsidRDefault="005D07A6"/>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66DE2583" w14:textId="77777777" w:rsidR="005D07A6" w:rsidRDefault="005D07A6"/>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7351EF20" w14:textId="77777777" w:rsidR="005D07A6" w:rsidRDefault="00F42774">
            <w:pPr>
              <w:pStyle w:val="TA1"/>
              <w:jc w:val="right"/>
              <w:rPr>
                <w:rFonts w:eastAsiaTheme="minorEastAsia"/>
              </w:rPr>
            </w:pPr>
            <w:r>
              <w:t>6 000</w:t>
            </w:r>
          </w:p>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294F84FB" w14:textId="77777777" w:rsidR="005D07A6" w:rsidRDefault="00F42774">
            <w:pPr>
              <w:pStyle w:val="TA1"/>
              <w:jc w:val="right"/>
              <w:rPr>
                <w:rFonts w:eastAsiaTheme="minorEastAsia"/>
              </w:rPr>
            </w:pPr>
            <w:r>
              <w:t>2,20</w:t>
            </w:r>
          </w:p>
        </w:tc>
        <w:tc>
          <w:tcPr>
            <w:tcW w:w="675" w:type="dxa"/>
            <w:tcBorders>
              <w:top w:val="nil"/>
              <w:left w:val="single" w:sz="4" w:space="0" w:color="auto"/>
              <w:bottom w:val="nil"/>
              <w:right w:val="single" w:sz="4" w:space="0" w:color="auto"/>
            </w:tcBorders>
            <w:tcMar>
              <w:top w:w="0" w:type="dxa"/>
              <w:left w:w="2" w:type="dxa"/>
              <w:bottom w:w="0" w:type="dxa"/>
              <w:right w:w="2" w:type="dxa"/>
            </w:tcMar>
            <w:hideMark/>
          </w:tcPr>
          <w:p w14:paraId="6AAD4974" w14:textId="77777777" w:rsidR="005D07A6" w:rsidRDefault="00F42774">
            <w:pPr>
              <w:pStyle w:val="TA1"/>
              <w:jc w:val="right"/>
              <w:rPr>
                <w:rFonts w:eastAsiaTheme="minorEastAsia"/>
              </w:rPr>
            </w:pPr>
            <w:r>
              <w:t>13 200</w:t>
            </w:r>
          </w:p>
        </w:tc>
      </w:tr>
      <w:tr w:rsidR="005D07A6" w14:paraId="77616E92" w14:textId="77777777">
        <w:tc>
          <w:tcPr>
            <w:tcW w:w="435" w:type="dxa"/>
            <w:tcBorders>
              <w:top w:val="nil"/>
              <w:left w:val="single" w:sz="4" w:space="0" w:color="auto"/>
              <w:bottom w:val="nil"/>
              <w:right w:val="single" w:sz="4" w:space="0" w:color="auto"/>
            </w:tcBorders>
            <w:tcMar>
              <w:top w:w="0" w:type="dxa"/>
              <w:left w:w="2" w:type="dxa"/>
              <w:bottom w:w="0" w:type="dxa"/>
              <w:right w:w="2" w:type="dxa"/>
            </w:tcMar>
            <w:hideMark/>
          </w:tcPr>
          <w:p w14:paraId="1C41B392" w14:textId="77777777" w:rsidR="005D07A6" w:rsidRDefault="005D07A6"/>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1F92A7E1" w14:textId="77777777" w:rsidR="005D07A6" w:rsidRDefault="005D07A6"/>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583F3349" w14:textId="77777777" w:rsidR="005D07A6" w:rsidRDefault="005D07A6"/>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0B9F5B7A" w14:textId="77777777" w:rsidR="005D07A6" w:rsidRDefault="005D07A6"/>
        </w:tc>
        <w:tc>
          <w:tcPr>
            <w:tcW w:w="600" w:type="dxa"/>
            <w:tcBorders>
              <w:top w:val="nil"/>
              <w:left w:val="single" w:sz="4" w:space="0" w:color="auto"/>
              <w:bottom w:val="nil"/>
              <w:right w:val="single" w:sz="4" w:space="0" w:color="auto"/>
            </w:tcBorders>
            <w:tcMar>
              <w:top w:w="0" w:type="dxa"/>
              <w:left w:w="2" w:type="dxa"/>
              <w:bottom w:w="0" w:type="dxa"/>
              <w:right w:w="2" w:type="dxa"/>
            </w:tcMar>
            <w:hideMark/>
          </w:tcPr>
          <w:p w14:paraId="7B8516A2" w14:textId="77777777" w:rsidR="005D07A6" w:rsidRDefault="005D07A6"/>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3BC23159" w14:textId="77777777" w:rsidR="005D07A6" w:rsidRDefault="005D07A6"/>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23EBFDC6" w14:textId="77777777" w:rsidR="005D07A6" w:rsidRDefault="005D07A6"/>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F73519F" w14:textId="77777777" w:rsidR="005D07A6" w:rsidRDefault="00F42774">
            <w:pPr>
              <w:pStyle w:val="TA1"/>
              <w:jc w:val="right"/>
              <w:rPr>
                <w:rFonts w:eastAsiaTheme="minorEastAsia"/>
              </w:rPr>
            </w:pPr>
            <w:r>
              <w:t>10 000</w:t>
            </w:r>
          </w:p>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760F1F8B" w14:textId="77777777" w:rsidR="005D07A6" w:rsidRDefault="00F42774">
            <w:pPr>
              <w:pStyle w:val="TA1"/>
              <w:jc w:val="right"/>
              <w:rPr>
                <w:rFonts w:eastAsiaTheme="minorEastAsia"/>
              </w:rPr>
            </w:pPr>
            <w:r>
              <w:t>2,05</w:t>
            </w:r>
          </w:p>
        </w:tc>
        <w:tc>
          <w:tcPr>
            <w:tcW w:w="6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D3A0F15" w14:textId="77777777" w:rsidR="005D07A6" w:rsidRDefault="00F42774">
            <w:pPr>
              <w:pStyle w:val="TA1"/>
              <w:jc w:val="right"/>
              <w:rPr>
                <w:rFonts w:eastAsiaTheme="minorEastAsia"/>
              </w:rPr>
            </w:pPr>
            <w:r>
              <w:t>20 500</w:t>
            </w:r>
          </w:p>
        </w:tc>
      </w:tr>
      <w:tr w:rsidR="005D07A6" w14:paraId="4F6AC0F2" w14:textId="77777777">
        <w:tc>
          <w:tcPr>
            <w:tcW w:w="43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FDBBDFD" w14:textId="77777777" w:rsidR="005D07A6" w:rsidRDefault="005D07A6"/>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C1482ED" w14:textId="77777777" w:rsidR="005D07A6" w:rsidRDefault="005D07A6"/>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9EFAD38" w14:textId="77777777" w:rsidR="005D07A6" w:rsidRDefault="005D07A6"/>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AD4FF22" w14:textId="77777777" w:rsidR="005D07A6" w:rsidRDefault="005D07A6"/>
        </w:tc>
        <w:tc>
          <w:tcPr>
            <w:tcW w:w="6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84C8142" w14:textId="77777777" w:rsidR="005D07A6" w:rsidRDefault="005D07A6"/>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A07ACE0" w14:textId="77777777" w:rsidR="005D07A6" w:rsidRDefault="005D07A6"/>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37FD66F"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A52179F" w14:textId="77777777" w:rsidR="005D07A6" w:rsidRDefault="00F42774">
            <w:pPr>
              <w:pStyle w:val="TA1"/>
              <w:jc w:val="right"/>
              <w:rPr>
                <w:rFonts w:eastAsiaTheme="minorEastAsia"/>
              </w:rPr>
            </w:pPr>
            <w:r>
              <w:t>18 000</w:t>
            </w:r>
          </w:p>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A610A8D" w14:textId="77777777" w:rsidR="005D07A6" w:rsidRDefault="005D07A6"/>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7DE8A42" w14:textId="77777777" w:rsidR="005D07A6" w:rsidRDefault="00F42774">
            <w:pPr>
              <w:pStyle w:val="TA1"/>
              <w:jc w:val="right"/>
              <w:rPr>
                <w:rFonts w:eastAsiaTheme="minorEastAsia"/>
              </w:rPr>
            </w:pPr>
            <w:r>
              <w:t>37 700</w:t>
            </w:r>
          </w:p>
        </w:tc>
      </w:tr>
    </w:tbl>
    <w:p w14:paraId="4D78DBE1" w14:textId="77777777" w:rsidR="005D07A6" w:rsidRDefault="00F42774">
      <w:pPr>
        <w:pStyle w:val="CT"/>
        <w:rPr>
          <w:rFonts w:eastAsiaTheme="minorEastAsia"/>
        </w:rPr>
      </w:pPr>
      <w:r>
        <w:t>Penser à valoriser les entrées au coût d’achat. Ainsi, le 15/03 :</w:t>
      </w:r>
    </w:p>
    <w:p w14:paraId="30982A05" w14:textId="77777777" w:rsidR="005D07A6" w:rsidRDefault="00F42774">
      <w:pPr>
        <w:pStyle w:val="CT"/>
      </w:pPr>
      <w:r>
        <w:t>2,20 = (12 000 + 1 200)/6 000</w:t>
      </w:r>
    </w:p>
    <w:p w14:paraId="5890CF24" w14:textId="77777777" w:rsidR="005D07A6" w:rsidRDefault="00F42774">
      <w:pPr>
        <w:pStyle w:val="TNiv1"/>
      </w:pPr>
      <w:r>
        <w:t>DEPS</w:t>
      </w:r>
    </w:p>
    <w:tbl>
      <w:tblPr>
        <w:tblW w:w="7620" w:type="dxa"/>
        <w:tblInd w:w="1701" w:type="dxa"/>
        <w:tblLook w:val="04A0" w:firstRow="1" w:lastRow="0" w:firstColumn="1" w:lastColumn="0" w:noHBand="0" w:noVBand="1"/>
      </w:tblPr>
      <w:tblGrid>
        <w:gridCol w:w="588"/>
        <w:gridCol w:w="824"/>
        <w:gridCol w:w="671"/>
        <w:gridCol w:w="907"/>
        <w:gridCol w:w="766"/>
        <w:gridCol w:w="613"/>
        <w:gridCol w:w="907"/>
        <w:gridCol w:w="766"/>
        <w:gridCol w:w="671"/>
        <w:gridCol w:w="907"/>
      </w:tblGrid>
      <w:tr w:rsidR="005D07A6" w14:paraId="76410A29" w14:textId="77777777">
        <w:tc>
          <w:tcPr>
            <w:tcW w:w="450" w:type="dxa"/>
            <w:tcBorders>
              <w:top w:val="nil"/>
              <w:left w:val="nil"/>
              <w:bottom w:val="nil"/>
              <w:right w:val="single" w:sz="4" w:space="0" w:color="auto"/>
            </w:tcBorders>
            <w:tcMar>
              <w:top w:w="0" w:type="dxa"/>
              <w:left w:w="2" w:type="dxa"/>
              <w:bottom w:w="0" w:type="dxa"/>
              <w:right w:w="2" w:type="dxa"/>
            </w:tcMar>
            <w:hideMark/>
          </w:tcPr>
          <w:p w14:paraId="4667834D" w14:textId="77777777" w:rsidR="005D07A6" w:rsidRDefault="005D07A6"/>
        </w:tc>
        <w:tc>
          <w:tcPr>
            <w:tcW w:w="64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C24F80B" w14:textId="77777777" w:rsidR="005D07A6" w:rsidRDefault="00F42774">
            <w:pPr>
              <w:pStyle w:val="TA1"/>
              <w:jc w:val="center"/>
              <w:rPr>
                <w:rFonts w:eastAsiaTheme="minorEastAsia"/>
              </w:rPr>
            </w:pPr>
            <w:r>
              <w:rPr>
                <w:b/>
                <w:bCs/>
              </w:rPr>
              <w:t>Entrées</w:t>
            </w:r>
          </w:p>
        </w:tc>
        <w:tc>
          <w:tcPr>
            <w:tcW w:w="600"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14C7406" w14:textId="77777777" w:rsidR="005D07A6" w:rsidRDefault="00F42774">
            <w:pPr>
              <w:pStyle w:val="TA1"/>
              <w:jc w:val="center"/>
              <w:rPr>
                <w:rFonts w:eastAsiaTheme="minorEastAsia"/>
              </w:rPr>
            </w:pPr>
            <w:r>
              <w:rPr>
                <w:b/>
                <w:bCs/>
              </w:rPr>
              <w:t>Sorties</w:t>
            </w:r>
          </w:p>
        </w:tc>
        <w:tc>
          <w:tcPr>
            <w:tcW w:w="600"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D0BBC3B" w14:textId="77777777" w:rsidR="005D07A6" w:rsidRDefault="00F42774">
            <w:pPr>
              <w:pStyle w:val="TA1"/>
              <w:jc w:val="center"/>
              <w:rPr>
                <w:rFonts w:eastAsiaTheme="minorEastAsia"/>
              </w:rPr>
            </w:pPr>
            <w:r>
              <w:rPr>
                <w:b/>
                <w:bCs/>
              </w:rPr>
              <w:t>Stocks</w:t>
            </w:r>
          </w:p>
        </w:tc>
      </w:tr>
      <w:tr w:rsidR="005D07A6" w14:paraId="1BB4A3D3" w14:textId="77777777">
        <w:tc>
          <w:tcPr>
            <w:tcW w:w="450" w:type="dxa"/>
            <w:tcBorders>
              <w:top w:val="nil"/>
              <w:left w:val="nil"/>
              <w:bottom w:val="single" w:sz="4" w:space="0" w:color="auto"/>
              <w:right w:val="single" w:sz="4" w:space="0" w:color="auto"/>
            </w:tcBorders>
            <w:tcMar>
              <w:top w:w="0" w:type="dxa"/>
              <w:left w:w="2" w:type="dxa"/>
              <w:bottom w:w="0" w:type="dxa"/>
              <w:right w:w="2" w:type="dxa"/>
            </w:tcMar>
            <w:hideMark/>
          </w:tcPr>
          <w:p w14:paraId="382FAD79" w14:textId="77777777" w:rsidR="005D07A6" w:rsidRDefault="005D07A6"/>
        </w:tc>
        <w:tc>
          <w:tcPr>
            <w:tcW w:w="64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81EC810" w14:textId="77777777" w:rsidR="005D07A6" w:rsidRDefault="00F42774">
            <w:pPr>
              <w:pStyle w:val="TA1"/>
              <w:jc w:val="center"/>
              <w:rPr>
                <w:rFonts w:eastAsiaTheme="minorEastAsia"/>
              </w:rPr>
            </w:pPr>
            <w:r>
              <w:rPr>
                <w:b/>
                <w:bCs/>
              </w:rPr>
              <w:t>Q</w:t>
            </w:r>
          </w:p>
        </w:tc>
        <w:tc>
          <w:tcPr>
            <w:tcW w:w="52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FEDBDC4" w14:textId="77777777" w:rsidR="005D07A6" w:rsidRDefault="00F42774">
            <w:pPr>
              <w:pStyle w:val="TA1"/>
              <w:jc w:val="center"/>
              <w:rPr>
                <w:rFonts w:eastAsiaTheme="minorEastAsia"/>
              </w:rPr>
            </w:pPr>
            <w:r>
              <w:rPr>
                <w:b/>
                <w:bCs/>
              </w:rPr>
              <w:t>CU</w:t>
            </w:r>
          </w:p>
        </w:tc>
        <w:tc>
          <w:tcPr>
            <w:tcW w:w="60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E95EBA3" w14:textId="77777777" w:rsidR="005D07A6" w:rsidRDefault="00F42774">
            <w:pPr>
              <w:pStyle w:val="TA1"/>
              <w:jc w:val="center"/>
              <w:rPr>
                <w:rFonts w:eastAsiaTheme="minorEastAsia"/>
              </w:rPr>
            </w:pPr>
            <w:r>
              <w:rPr>
                <w:b/>
                <w:bCs/>
              </w:rPr>
              <w:t>Montant</w:t>
            </w:r>
          </w:p>
        </w:tc>
        <w:tc>
          <w:tcPr>
            <w:tcW w:w="60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87D8131" w14:textId="77777777" w:rsidR="005D07A6" w:rsidRDefault="00F42774">
            <w:pPr>
              <w:pStyle w:val="TA1"/>
              <w:jc w:val="center"/>
              <w:rPr>
                <w:rFonts w:eastAsiaTheme="minorEastAsia"/>
              </w:rPr>
            </w:pPr>
            <w:r>
              <w:rPr>
                <w:b/>
                <w:bCs/>
              </w:rPr>
              <w:t>Q</w:t>
            </w:r>
          </w:p>
        </w:tc>
        <w:tc>
          <w:tcPr>
            <w:tcW w:w="48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1D1F862" w14:textId="77777777" w:rsidR="005D07A6" w:rsidRDefault="00F42774">
            <w:pPr>
              <w:pStyle w:val="TA1"/>
              <w:jc w:val="center"/>
              <w:rPr>
                <w:rFonts w:eastAsiaTheme="minorEastAsia"/>
              </w:rPr>
            </w:pPr>
            <w:r>
              <w:rPr>
                <w:b/>
                <w:bCs/>
              </w:rPr>
              <w:t>CU</w:t>
            </w:r>
          </w:p>
        </w:tc>
        <w:tc>
          <w:tcPr>
            <w:tcW w:w="64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F32C1A9" w14:textId="77777777" w:rsidR="005D07A6" w:rsidRDefault="00F42774">
            <w:pPr>
              <w:pStyle w:val="TA1"/>
              <w:jc w:val="center"/>
              <w:rPr>
                <w:rFonts w:eastAsiaTheme="minorEastAsia"/>
              </w:rPr>
            </w:pPr>
            <w:r>
              <w:rPr>
                <w:b/>
                <w:bCs/>
              </w:rPr>
              <w:t>Montant</w:t>
            </w:r>
          </w:p>
        </w:tc>
        <w:tc>
          <w:tcPr>
            <w:tcW w:w="60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93C462F" w14:textId="77777777" w:rsidR="005D07A6" w:rsidRDefault="00F42774">
            <w:pPr>
              <w:pStyle w:val="TA1"/>
              <w:jc w:val="center"/>
              <w:rPr>
                <w:rFonts w:eastAsiaTheme="minorEastAsia"/>
              </w:rPr>
            </w:pPr>
            <w:r>
              <w:rPr>
                <w:b/>
                <w:bCs/>
              </w:rPr>
              <w:t>Q</w:t>
            </w:r>
          </w:p>
        </w:tc>
        <w:tc>
          <w:tcPr>
            <w:tcW w:w="52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85D7874" w14:textId="77777777" w:rsidR="005D07A6" w:rsidRDefault="00F42774">
            <w:pPr>
              <w:pStyle w:val="TA1"/>
              <w:jc w:val="center"/>
              <w:rPr>
                <w:rFonts w:eastAsiaTheme="minorEastAsia"/>
              </w:rPr>
            </w:pPr>
            <w:r>
              <w:rPr>
                <w:b/>
                <w:bCs/>
              </w:rPr>
              <w:t>CU</w:t>
            </w:r>
          </w:p>
        </w:tc>
        <w:tc>
          <w:tcPr>
            <w:tcW w:w="64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4E2CBE3" w14:textId="77777777" w:rsidR="005D07A6" w:rsidRDefault="00F42774">
            <w:pPr>
              <w:pStyle w:val="TA1"/>
              <w:jc w:val="center"/>
              <w:rPr>
                <w:rFonts w:eastAsiaTheme="minorEastAsia"/>
              </w:rPr>
            </w:pPr>
            <w:r>
              <w:rPr>
                <w:b/>
                <w:bCs/>
              </w:rPr>
              <w:t>Montant</w:t>
            </w:r>
          </w:p>
        </w:tc>
      </w:tr>
      <w:tr w:rsidR="005D07A6" w14:paraId="21F5DC3B" w14:textId="77777777">
        <w:tc>
          <w:tcPr>
            <w:tcW w:w="4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BFD9FC1" w14:textId="77777777" w:rsidR="005D07A6" w:rsidRDefault="00F42774">
            <w:pPr>
              <w:pStyle w:val="TA1"/>
              <w:rPr>
                <w:rFonts w:eastAsiaTheme="minorEastAsia"/>
              </w:rPr>
            </w:pPr>
            <w:r>
              <w:t>01/03</w:t>
            </w:r>
          </w:p>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BE6A19A"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9D27FC3" w14:textId="77777777" w:rsidR="005D07A6" w:rsidRDefault="005D07A6"/>
        </w:tc>
        <w:tc>
          <w:tcPr>
            <w:tcW w:w="6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B7C4E7B" w14:textId="77777777" w:rsidR="005D07A6" w:rsidRDefault="005D07A6"/>
        </w:tc>
        <w:tc>
          <w:tcPr>
            <w:tcW w:w="6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ADB9B13" w14:textId="77777777" w:rsidR="005D07A6" w:rsidRDefault="005D07A6"/>
        </w:tc>
        <w:tc>
          <w:tcPr>
            <w:tcW w:w="4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5D9124D" w14:textId="77777777" w:rsidR="005D07A6" w:rsidRDefault="005D07A6"/>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39FEB1E" w14:textId="77777777" w:rsidR="005D07A6" w:rsidRDefault="005D07A6"/>
        </w:tc>
        <w:tc>
          <w:tcPr>
            <w:tcW w:w="6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90B9AE4" w14:textId="77777777" w:rsidR="005D07A6" w:rsidRDefault="00F42774">
            <w:pPr>
              <w:pStyle w:val="TA1"/>
              <w:jc w:val="right"/>
              <w:rPr>
                <w:rFonts w:eastAsiaTheme="minorEastAsia"/>
              </w:rPr>
            </w:pPr>
            <w:r>
              <w:t>10 000</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D41F11F" w14:textId="77777777" w:rsidR="005D07A6" w:rsidRDefault="00F42774">
            <w:pPr>
              <w:pStyle w:val="TA1"/>
              <w:jc w:val="right"/>
              <w:rPr>
                <w:rFonts w:eastAsiaTheme="minorEastAsia"/>
              </w:rPr>
            </w:pPr>
            <w:r>
              <w:t>2</w:t>
            </w:r>
          </w:p>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5CC195D" w14:textId="77777777" w:rsidR="005D07A6" w:rsidRDefault="00F42774">
            <w:pPr>
              <w:pStyle w:val="TA1"/>
              <w:jc w:val="right"/>
              <w:rPr>
                <w:rFonts w:eastAsiaTheme="minorEastAsia"/>
              </w:rPr>
            </w:pPr>
            <w:r>
              <w:t>20 000</w:t>
            </w:r>
          </w:p>
        </w:tc>
      </w:tr>
      <w:tr w:rsidR="005D07A6" w14:paraId="2332E974" w14:textId="77777777">
        <w:tc>
          <w:tcPr>
            <w:tcW w:w="45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00E75EF" w14:textId="77777777" w:rsidR="005D07A6" w:rsidRDefault="00F42774">
            <w:pPr>
              <w:pStyle w:val="TA1"/>
              <w:rPr>
                <w:rFonts w:eastAsiaTheme="minorEastAsia"/>
              </w:rPr>
            </w:pPr>
            <w:r>
              <w:lastRenderedPageBreak/>
              <w:t>15/03</w:t>
            </w:r>
          </w:p>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5CF3BFF" w14:textId="77777777" w:rsidR="005D07A6" w:rsidRDefault="00F42774">
            <w:pPr>
              <w:pStyle w:val="TA1"/>
              <w:jc w:val="right"/>
              <w:rPr>
                <w:rFonts w:eastAsiaTheme="minorEastAsia"/>
              </w:rPr>
            </w:pPr>
            <w:r>
              <w:t>6 000</w:t>
            </w:r>
          </w:p>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A3D8E50" w14:textId="77777777" w:rsidR="005D07A6" w:rsidRDefault="00F42774">
            <w:pPr>
              <w:pStyle w:val="TA1"/>
              <w:jc w:val="right"/>
              <w:rPr>
                <w:rFonts w:eastAsiaTheme="minorEastAsia"/>
              </w:rPr>
            </w:pPr>
            <w:r>
              <w:t>2,20</w:t>
            </w:r>
          </w:p>
        </w:tc>
        <w:tc>
          <w:tcPr>
            <w:tcW w:w="6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6896377" w14:textId="77777777" w:rsidR="005D07A6" w:rsidRDefault="00F42774">
            <w:pPr>
              <w:pStyle w:val="TA1"/>
              <w:jc w:val="right"/>
              <w:rPr>
                <w:rFonts w:eastAsiaTheme="minorEastAsia"/>
              </w:rPr>
            </w:pPr>
            <w:r>
              <w:t>13 200</w:t>
            </w:r>
          </w:p>
        </w:tc>
        <w:tc>
          <w:tcPr>
            <w:tcW w:w="6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FB97BE3" w14:textId="77777777" w:rsidR="005D07A6" w:rsidRDefault="005D07A6"/>
        </w:tc>
        <w:tc>
          <w:tcPr>
            <w:tcW w:w="48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9D27B05" w14:textId="77777777" w:rsidR="005D07A6" w:rsidRDefault="005D07A6"/>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AC65A91" w14:textId="77777777" w:rsidR="005D07A6" w:rsidRDefault="005D07A6"/>
        </w:tc>
        <w:tc>
          <w:tcPr>
            <w:tcW w:w="6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68D27F2" w14:textId="77777777" w:rsidR="005D07A6" w:rsidRDefault="00F42774">
            <w:pPr>
              <w:pStyle w:val="TA1"/>
              <w:jc w:val="right"/>
              <w:rPr>
                <w:rFonts w:eastAsiaTheme="minorEastAsia"/>
              </w:rPr>
            </w:pPr>
            <w:r>
              <w:t>10 000</w:t>
            </w:r>
          </w:p>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0423C64" w14:textId="77777777" w:rsidR="005D07A6" w:rsidRDefault="00F42774">
            <w:pPr>
              <w:pStyle w:val="TA1"/>
              <w:jc w:val="right"/>
              <w:rPr>
                <w:rFonts w:eastAsiaTheme="minorEastAsia"/>
              </w:rPr>
            </w:pPr>
            <w:r>
              <w:t>2</w:t>
            </w:r>
          </w:p>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8139B1F" w14:textId="77777777" w:rsidR="005D07A6" w:rsidRDefault="00F42774">
            <w:pPr>
              <w:pStyle w:val="TA1"/>
              <w:jc w:val="right"/>
              <w:rPr>
                <w:rFonts w:eastAsiaTheme="minorEastAsia"/>
              </w:rPr>
            </w:pPr>
            <w:r>
              <w:t>20 000</w:t>
            </w:r>
          </w:p>
        </w:tc>
      </w:tr>
      <w:tr w:rsidR="005D07A6" w14:paraId="11EA6AE6" w14:textId="77777777">
        <w:tc>
          <w:tcPr>
            <w:tcW w:w="450" w:type="dxa"/>
            <w:tcBorders>
              <w:top w:val="nil"/>
              <w:left w:val="single" w:sz="4" w:space="0" w:color="auto"/>
              <w:bottom w:val="nil"/>
              <w:right w:val="single" w:sz="4" w:space="0" w:color="auto"/>
            </w:tcBorders>
            <w:tcMar>
              <w:top w:w="0" w:type="dxa"/>
              <w:left w:w="2" w:type="dxa"/>
              <w:bottom w:w="0" w:type="dxa"/>
              <w:right w:w="2" w:type="dxa"/>
            </w:tcMar>
            <w:hideMark/>
          </w:tcPr>
          <w:p w14:paraId="7332BDE9" w14:textId="77777777" w:rsidR="005D07A6" w:rsidRDefault="005D07A6"/>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7CAC8B60" w14:textId="77777777" w:rsidR="005D07A6" w:rsidRDefault="005D07A6"/>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026BEC46" w14:textId="77777777" w:rsidR="005D07A6" w:rsidRDefault="005D07A6"/>
        </w:tc>
        <w:tc>
          <w:tcPr>
            <w:tcW w:w="600" w:type="dxa"/>
            <w:tcBorders>
              <w:top w:val="nil"/>
              <w:left w:val="single" w:sz="4" w:space="0" w:color="auto"/>
              <w:bottom w:val="nil"/>
              <w:right w:val="single" w:sz="4" w:space="0" w:color="auto"/>
            </w:tcBorders>
            <w:tcMar>
              <w:top w:w="0" w:type="dxa"/>
              <w:left w:w="2" w:type="dxa"/>
              <w:bottom w:w="0" w:type="dxa"/>
              <w:right w:w="2" w:type="dxa"/>
            </w:tcMar>
            <w:hideMark/>
          </w:tcPr>
          <w:p w14:paraId="0153D96E" w14:textId="77777777" w:rsidR="005D07A6" w:rsidRDefault="005D07A6"/>
        </w:tc>
        <w:tc>
          <w:tcPr>
            <w:tcW w:w="600" w:type="dxa"/>
            <w:tcBorders>
              <w:top w:val="nil"/>
              <w:left w:val="single" w:sz="4" w:space="0" w:color="auto"/>
              <w:bottom w:val="nil"/>
              <w:right w:val="single" w:sz="4" w:space="0" w:color="auto"/>
            </w:tcBorders>
            <w:tcMar>
              <w:top w:w="0" w:type="dxa"/>
              <w:left w:w="2" w:type="dxa"/>
              <w:bottom w:w="0" w:type="dxa"/>
              <w:right w:w="2" w:type="dxa"/>
            </w:tcMar>
            <w:hideMark/>
          </w:tcPr>
          <w:p w14:paraId="08C8F395" w14:textId="77777777" w:rsidR="005D07A6" w:rsidRDefault="005D07A6"/>
        </w:tc>
        <w:tc>
          <w:tcPr>
            <w:tcW w:w="480" w:type="dxa"/>
            <w:tcBorders>
              <w:top w:val="nil"/>
              <w:left w:val="single" w:sz="4" w:space="0" w:color="auto"/>
              <w:bottom w:val="nil"/>
              <w:right w:val="single" w:sz="4" w:space="0" w:color="auto"/>
            </w:tcBorders>
            <w:tcMar>
              <w:top w:w="0" w:type="dxa"/>
              <w:left w:w="2" w:type="dxa"/>
              <w:bottom w:w="0" w:type="dxa"/>
              <w:right w:w="2" w:type="dxa"/>
            </w:tcMar>
            <w:hideMark/>
          </w:tcPr>
          <w:p w14:paraId="20356275" w14:textId="77777777" w:rsidR="005D07A6" w:rsidRDefault="005D07A6"/>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3B0EE639" w14:textId="77777777" w:rsidR="005D07A6" w:rsidRDefault="005D07A6"/>
        </w:tc>
        <w:tc>
          <w:tcPr>
            <w:tcW w:w="6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5A2DBD8" w14:textId="77777777" w:rsidR="005D07A6" w:rsidRDefault="00F42774">
            <w:pPr>
              <w:pStyle w:val="TA1"/>
              <w:jc w:val="right"/>
              <w:rPr>
                <w:rFonts w:eastAsiaTheme="minorEastAsia"/>
              </w:rPr>
            </w:pPr>
            <w:r>
              <w:t>6 000</w:t>
            </w:r>
          </w:p>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13D8BDB8" w14:textId="77777777" w:rsidR="005D07A6" w:rsidRDefault="00F42774">
            <w:pPr>
              <w:pStyle w:val="TA1"/>
              <w:jc w:val="right"/>
              <w:rPr>
                <w:rFonts w:eastAsiaTheme="minorEastAsia"/>
              </w:rPr>
            </w:pPr>
            <w:r>
              <w:t>2,20</w:t>
            </w:r>
          </w:p>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CF303EC" w14:textId="77777777" w:rsidR="005D07A6" w:rsidRDefault="00F42774">
            <w:pPr>
              <w:pStyle w:val="TA1"/>
              <w:jc w:val="right"/>
              <w:rPr>
                <w:rFonts w:eastAsiaTheme="minorEastAsia"/>
              </w:rPr>
            </w:pPr>
            <w:r>
              <w:t>13 200</w:t>
            </w:r>
          </w:p>
        </w:tc>
      </w:tr>
      <w:tr w:rsidR="005D07A6" w14:paraId="4FD5D288" w14:textId="77777777">
        <w:tc>
          <w:tcPr>
            <w:tcW w:w="45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913BE43" w14:textId="77777777" w:rsidR="005D07A6" w:rsidRDefault="005D07A6"/>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576FFD6" w14:textId="77777777" w:rsidR="005D07A6" w:rsidRDefault="005D07A6"/>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1417302" w14:textId="77777777" w:rsidR="005D07A6" w:rsidRDefault="005D07A6"/>
        </w:tc>
        <w:tc>
          <w:tcPr>
            <w:tcW w:w="6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6E5EB65" w14:textId="77777777" w:rsidR="005D07A6" w:rsidRDefault="005D07A6"/>
        </w:tc>
        <w:tc>
          <w:tcPr>
            <w:tcW w:w="6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D844919" w14:textId="77777777" w:rsidR="005D07A6" w:rsidRDefault="005D07A6"/>
        </w:tc>
        <w:tc>
          <w:tcPr>
            <w:tcW w:w="48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6F521E4" w14:textId="77777777" w:rsidR="005D07A6" w:rsidRDefault="005D07A6"/>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522118D" w14:textId="77777777" w:rsidR="005D07A6" w:rsidRDefault="005D07A6"/>
        </w:tc>
        <w:tc>
          <w:tcPr>
            <w:tcW w:w="6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7083360" w14:textId="77777777" w:rsidR="005D07A6" w:rsidRDefault="00F42774">
            <w:pPr>
              <w:pStyle w:val="TA1"/>
              <w:jc w:val="right"/>
              <w:rPr>
                <w:rFonts w:eastAsiaTheme="minorEastAsia"/>
              </w:rPr>
            </w:pPr>
            <w:r>
              <w:t>16 000</w:t>
            </w:r>
          </w:p>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0A7CBF5" w14:textId="77777777" w:rsidR="005D07A6" w:rsidRDefault="005D07A6"/>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04846ED" w14:textId="77777777" w:rsidR="005D07A6" w:rsidRDefault="00F42774">
            <w:pPr>
              <w:pStyle w:val="TA1"/>
              <w:jc w:val="right"/>
              <w:rPr>
                <w:rFonts w:eastAsiaTheme="minorEastAsia"/>
              </w:rPr>
            </w:pPr>
            <w:r>
              <w:t>33 200</w:t>
            </w:r>
          </w:p>
        </w:tc>
      </w:tr>
      <w:tr w:rsidR="005D07A6" w14:paraId="63CF10F5" w14:textId="77777777">
        <w:tc>
          <w:tcPr>
            <w:tcW w:w="45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8FA7C7A" w14:textId="77777777" w:rsidR="005D07A6" w:rsidRDefault="00F42774">
            <w:pPr>
              <w:pStyle w:val="TA1"/>
              <w:rPr>
                <w:rFonts w:eastAsiaTheme="minorEastAsia"/>
              </w:rPr>
            </w:pPr>
            <w:r>
              <w:t>20/03</w:t>
            </w:r>
          </w:p>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C8642B1" w14:textId="77777777" w:rsidR="005D07A6" w:rsidRDefault="005D07A6"/>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5B94921" w14:textId="77777777" w:rsidR="005D07A6" w:rsidRDefault="005D07A6"/>
        </w:tc>
        <w:tc>
          <w:tcPr>
            <w:tcW w:w="6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037661C" w14:textId="77777777" w:rsidR="005D07A6" w:rsidRDefault="005D07A6"/>
        </w:tc>
        <w:tc>
          <w:tcPr>
            <w:tcW w:w="6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85501F6" w14:textId="77777777" w:rsidR="005D07A6" w:rsidRDefault="00F42774">
            <w:pPr>
              <w:pStyle w:val="TA1"/>
              <w:jc w:val="right"/>
              <w:rPr>
                <w:rFonts w:eastAsiaTheme="minorEastAsia"/>
              </w:rPr>
            </w:pPr>
            <w:r>
              <w:t>6 000</w:t>
            </w:r>
          </w:p>
        </w:tc>
        <w:tc>
          <w:tcPr>
            <w:tcW w:w="48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0390047" w14:textId="77777777" w:rsidR="005D07A6" w:rsidRDefault="00F42774">
            <w:pPr>
              <w:pStyle w:val="TA1"/>
              <w:jc w:val="right"/>
              <w:rPr>
                <w:rFonts w:eastAsiaTheme="minorEastAsia"/>
              </w:rPr>
            </w:pPr>
            <w:r>
              <w:t>2,20</w:t>
            </w:r>
          </w:p>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5CC6954" w14:textId="77777777" w:rsidR="005D07A6" w:rsidRDefault="00F42774">
            <w:pPr>
              <w:pStyle w:val="TA1"/>
              <w:jc w:val="right"/>
              <w:rPr>
                <w:rFonts w:eastAsiaTheme="minorEastAsia"/>
              </w:rPr>
            </w:pPr>
            <w:r>
              <w:t>13 200</w:t>
            </w:r>
          </w:p>
        </w:tc>
        <w:tc>
          <w:tcPr>
            <w:tcW w:w="6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DF18492" w14:textId="77777777" w:rsidR="005D07A6" w:rsidRDefault="00F42774">
            <w:pPr>
              <w:pStyle w:val="TA1"/>
              <w:jc w:val="right"/>
              <w:rPr>
                <w:rFonts w:eastAsiaTheme="minorEastAsia"/>
              </w:rPr>
            </w:pPr>
            <w:r>
              <w:t>8 000</w:t>
            </w:r>
          </w:p>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577B2B4" w14:textId="77777777" w:rsidR="005D07A6" w:rsidRDefault="00F42774">
            <w:pPr>
              <w:pStyle w:val="TA1"/>
              <w:jc w:val="right"/>
              <w:rPr>
                <w:rFonts w:eastAsiaTheme="minorEastAsia"/>
              </w:rPr>
            </w:pPr>
            <w:r>
              <w:t>2</w:t>
            </w:r>
          </w:p>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C0F58D1" w14:textId="77777777" w:rsidR="005D07A6" w:rsidRDefault="00F42774">
            <w:pPr>
              <w:pStyle w:val="TA1"/>
              <w:jc w:val="right"/>
              <w:rPr>
                <w:rFonts w:eastAsiaTheme="minorEastAsia"/>
              </w:rPr>
            </w:pPr>
            <w:r>
              <w:t>16 000</w:t>
            </w:r>
          </w:p>
        </w:tc>
      </w:tr>
      <w:tr w:rsidR="005D07A6" w14:paraId="50227EC8" w14:textId="77777777">
        <w:tc>
          <w:tcPr>
            <w:tcW w:w="450" w:type="dxa"/>
            <w:tcBorders>
              <w:top w:val="nil"/>
              <w:left w:val="single" w:sz="4" w:space="0" w:color="auto"/>
              <w:bottom w:val="nil"/>
              <w:right w:val="single" w:sz="4" w:space="0" w:color="auto"/>
            </w:tcBorders>
            <w:tcMar>
              <w:top w:w="0" w:type="dxa"/>
              <w:left w:w="2" w:type="dxa"/>
              <w:bottom w:w="0" w:type="dxa"/>
              <w:right w:w="2" w:type="dxa"/>
            </w:tcMar>
            <w:hideMark/>
          </w:tcPr>
          <w:p w14:paraId="19CA6857" w14:textId="77777777" w:rsidR="005D07A6" w:rsidRDefault="005D07A6"/>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05118336" w14:textId="77777777" w:rsidR="005D07A6" w:rsidRDefault="005D07A6"/>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0BE36B8A" w14:textId="77777777" w:rsidR="005D07A6" w:rsidRDefault="005D07A6"/>
        </w:tc>
        <w:tc>
          <w:tcPr>
            <w:tcW w:w="600" w:type="dxa"/>
            <w:tcBorders>
              <w:top w:val="nil"/>
              <w:left w:val="single" w:sz="4" w:space="0" w:color="auto"/>
              <w:bottom w:val="nil"/>
              <w:right w:val="single" w:sz="4" w:space="0" w:color="auto"/>
            </w:tcBorders>
            <w:tcMar>
              <w:top w:w="0" w:type="dxa"/>
              <w:left w:w="2" w:type="dxa"/>
              <w:bottom w:w="0" w:type="dxa"/>
              <w:right w:w="2" w:type="dxa"/>
            </w:tcMar>
            <w:hideMark/>
          </w:tcPr>
          <w:p w14:paraId="2EA13419" w14:textId="77777777" w:rsidR="005D07A6" w:rsidRDefault="005D07A6"/>
        </w:tc>
        <w:tc>
          <w:tcPr>
            <w:tcW w:w="6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95867F0" w14:textId="77777777" w:rsidR="005D07A6" w:rsidRDefault="00F42774">
            <w:pPr>
              <w:pStyle w:val="TA1"/>
              <w:jc w:val="right"/>
              <w:rPr>
                <w:rFonts w:eastAsiaTheme="minorEastAsia"/>
              </w:rPr>
            </w:pPr>
            <w:r>
              <w:t>2 000</w:t>
            </w:r>
          </w:p>
        </w:tc>
        <w:tc>
          <w:tcPr>
            <w:tcW w:w="480" w:type="dxa"/>
            <w:tcBorders>
              <w:top w:val="nil"/>
              <w:left w:val="single" w:sz="4" w:space="0" w:color="auto"/>
              <w:bottom w:val="nil"/>
              <w:right w:val="single" w:sz="4" w:space="0" w:color="auto"/>
            </w:tcBorders>
            <w:tcMar>
              <w:top w:w="0" w:type="dxa"/>
              <w:left w:w="2" w:type="dxa"/>
              <w:bottom w:w="0" w:type="dxa"/>
              <w:right w:w="2" w:type="dxa"/>
            </w:tcMar>
            <w:hideMark/>
          </w:tcPr>
          <w:p w14:paraId="4F985F9E" w14:textId="77777777" w:rsidR="005D07A6" w:rsidRDefault="00F42774">
            <w:pPr>
              <w:pStyle w:val="TA1"/>
              <w:jc w:val="right"/>
              <w:rPr>
                <w:rFonts w:eastAsiaTheme="minorEastAsia"/>
              </w:rPr>
            </w:pPr>
            <w:r>
              <w:t>2</w:t>
            </w:r>
          </w:p>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3990CF0" w14:textId="77777777" w:rsidR="005D07A6" w:rsidRDefault="00F42774">
            <w:pPr>
              <w:pStyle w:val="TA1"/>
              <w:jc w:val="right"/>
              <w:rPr>
                <w:rFonts w:eastAsiaTheme="minorEastAsia"/>
              </w:rPr>
            </w:pPr>
            <w:r>
              <w:t>4 000</w:t>
            </w:r>
          </w:p>
        </w:tc>
        <w:tc>
          <w:tcPr>
            <w:tcW w:w="600" w:type="dxa"/>
            <w:tcBorders>
              <w:top w:val="nil"/>
              <w:left w:val="single" w:sz="4" w:space="0" w:color="auto"/>
              <w:bottom w:val="nil"/>
              <w:right w:val="single" w:sz="4" w:space="0" w:color="auto"/>
            </w:tcBorders>
            <w:tcMar>
              <w:top w:w="0" w:type="dxa"/>
              <w:left w:w="2" w:type="dxa"/>
              <w:bottom w:w="0" w:type="dxa"/>
              <w:right w:w="2" w:type="dxa"/>
            </w:tcMar>
            <w:hideMark/>
          </w:tcPr>
          <w:p w14:paraId="4192132D" w14:textId="77777777" w:rsidR="005D07A6" w:rsidRDefault="005D07A6"/>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1BF683D6" w14:textId="77777777" w:rsidR="005D07A6" w:rsidRDefault="005D07A6"/>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5B2C5E17" w14:textId="77777777" w:rsidR="005D07A6" w:rsidRDefault="005D07A6"/>
        </w:tc>
      </w:tr>
      <w:tr w:rsidR="005D07A6" w14:paraId="3E58583D" w14:textId="77777777">
        <w:tc>
          <w:tcPr>
            <w:tcW w:w="45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666A41C" w14:textId="77777777" w:rsidR="005D07A6" w:rsidRDefault="005D07A6"/>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AB29DC4" w14:textId="77777777" w:rsidR="005D07A6" w:rsidRDefault="005D07A6"/>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15B28A4" w14:textId="77777777" w:rsidR="005D07A6" w:rsidRDefault="005D07A6"/>
        </w:tc>
        <w:tc>
          <w:tcPr>
            <w:tcW w:w="6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132FD82" w14:textId="77777777" w:rsidR="005D07A6" w:rsidRDefault="005D07A6"/>
        </w:tc>
        <w:tc>
          <w:tcPr>
            <w:tcW w:w="6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C344DA7" w14:textId="77777777" w:rsidR="005D07A6" w:rsidRDefault="00F42774">
            <w:pPr>
              <w:pStyle w:val="TA1"/>
              <w:jc w:val="right"/>
              <w:rPr>
                <w:rFonts w:eastAsiaTheme="minorEastAsia"/>
              </w:rPr>
            </w:pPr>
            <w:r>
              <w:t>8 000</w:t>
            </w:r>
          </w:p>
        </w:tc>
        <w:tc>
          <w:tcPr>
            <w:tcW w:w="48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D93C8F2" w14:textId="77777777" w:rsidR="005D07A6" w:rsidRDefault="005D07A6"/>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990DE7A" w14:textId="77777777" w:rsidR="005D07A6" w:rsidRDefault="00F42774">
            <w:pPr>
              <w:pStyle w:val="TA1"/>
              <w:jc w:val="right"/>
              <w:rPr>
                <w:rFonts w:eastAsiaTheme="minorEastAsia"/>
              </w:rPr>
            </w:pPr>
            <w:r>
              <w:t>17 200</w:t>
            </w:r>
          </w:p>
        </w:tc>
        <w:tc>
          <w:tcPr>
            <w:tcW w:w="6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5B3E42F" w14:textId="77777777" w:rsidR="005D07A6" w:rsidRDefault="005D07A6"/>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145AE34" w14:textId="77777777" w:rsidR="005D07A6" w:rsidRDefault="005D07A6"/>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938AD2C" w14:textId="77777777" w:rsidR="005D07A6" w:rsidRDefault="005D07A6"/>
        </w:tc>
      </w:tr>
      <w:tr w:rsidR="005D07A6" w14:paraId="0711C21A" w14:textId="77777777">
        <w:tc>
          <w:tcPr>
            <w:tcW w:w="45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E3DE6A3" w14:textId="77777777" w:rsidR="005D07A6" w:rsidRDefault="00F42774">
            <w:pPr>
              <w:pStyle w:val="TA1"/>
              <w:rPr>
                <w:rFonts w:eastAsiaTheme="minorEastAsia"/>
              </w:rPr>
            </w:pPr>
            <w:r>
              <w:t>28/03</w:t>
            </w:r>
          </w:p>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7C5EA30" w14:textId="77777777" w:rsidR="005D07A6" w:rsidRDefault="00F42774">
            <w:pPr>
              <w:pStyle w:val="TA1"/>
              <w:jc w:val="right"/>
              <w:rPr>
                <w:rFonts w:eastAsiaTheme="minorEastAsia"/>
              </w:rPr>
            </w:pPr>
            <w:r>
              <w:t>10 000</w:t>
            </w:r>
          </w:p>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EB5E74A" w14:textId="77777777" w:rsidR="005D07A6" w:rsidRDefault="00F42774">
            <w:pPr>
              <w:pStyle w:val="TA1"/>
              <w:jc w:val="right"/>
              <w:rPr>
                <w:rFonts w:eastAsiaTheme="minorEastAsia"/>
              </w:rPr>
            </w:pPr>
            <w:r>
              <w:t>2,05</w:t>
            </w:r>
          </w:p>
        </w:tc>
        <w:tc>
          <w:tcPr>
            <w:tcW w:w="6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376D009" w14:textId="77777777" w:rsidR="005D07A6" w:rsidRDefault="00F42774">
            <w:pPr>
              <w:pStyle w:val="TA1"/>
              <w:jc w:val="right"/>
              <w:rPr>
                <w:rFonts w:eastAsiaTheme="minorEastAsia"/>
              </w:rPr>
            </w:pPr>
            <w:r>
              <w:t>20 500</w:t>
            </w:r>
          </w:p>
        </w:tc>
        <w:tc>
          <w:tcPr>
            <w:tcW w:w="6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017AE0D" w14:textId="77777777" w:rsidR="005D07A6" w:rsidRDefault="005D07A6"/>
        </w:tc>
        <w:tc>
          <w:tcPr>
            <w:tcW w:w="48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77D1F2F" w14:textId="77777777" w:rsidR="005D07A6" w:rsidRDefault="005D07A6"/>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6222EA7" w14:textId="77777777" w:rsidR="005D07A6" w:rsidRDefault="005D07A6"/>
        </w:tc>
        <w:tc>
          <w:tcPr>
            <w:tcW w:w="6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864C20B" w14:textId="77777777" w:rsidR="005D07A6" w:rsidRDefault="00F42774">
            <w:pPr>
              <w:pStyle w:val="TA1"/>
              <w:jc w:val="right"/>
              <w:rPr>
                <w:rFonts w:eastAsiaTheme="minorEastAsia"/>
              </w:rPr>
            </w:pPr>
            <w:r>
              <w:t>8 000</w:t>
            </w:r>
          </w:p>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C74DFC2" w14:textId="77777777" w:rsidR="005D07A6" w:rsidRDefault="00F42774">
            <w:pPr>
              <w:pStyle w:val="TA1"/>
              <w:jc w:val="right"/>
              <w:rPr>
                <w:rFonts w:eastAsiaTheme="minorEastAsia"/>
              </w:rPr>
            </w:pPr>
            <w:r>
              <w:t>2</w:t>
            </w:r>
          </w:p>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AB9056B" w14:textId="77777777" w:rsidR="005D07A6" w:rsidRDefault="00F42774">
            <w:pPr>
              <w:pStyle w:val="TA1"/>
              <w:jc w:val="right"/>
              <w:rPr>
                <w:rFonts w:eastAsiaTheme="minorEastAsia"/>
              </w:rPr>
            </w:pPr>
            <w:r>
              <w:t>16 000</w:t>
            </w:r>
          </w:p>
        </w:tc>
      </w:tr>
      <w:tr w:rsidR="005D07A6" w14:paraId="573EFBED" w14:textId="77777777">
        <w:tc>
          <w:tcPr>
            <w:tcW w:w="450" w:type="dxa"/>
            <w:tcBorders>
              <w:top w:val="nil"/>
              <w:left w:val="single" w:sz="4" w:space="0" w:color="auto"/>
              <w:bottom w:val="nil"/>
              <w:right w:val="single" w:sz="4" w:space="0" w:color="auto"/>
            </w:tcBorders>
            <w:tcMar>
              <w:top w:w="0" w:type="dxa"/>
              <w:left w:w="2" w:type="dxa"/>
              <w:bottom w:w="0" w:type="dxa"/>
              <w:right w:w="2" w:type="dxa"/>
            </w:tcMar>
            <w:hideMark/>
          </w:tcPr>
          <w:p w14:paraId="4F5005F5" w14:textId="77777777" w:rsidR="005D07A6" w:rsidRDefault="005D07A6"/>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4C016FC7" w14:textId="77777777" w:rsidR="005D07A6" w:rsidRDefault="005D07A6"/>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6E2A1515" w14:textId="77777777" w:rsidR="005D07A6" w:rsidRDefault="005D07A6"/>
        </w:tc>
        <w:tc>
          <w:tcPr>
            <w:tcW w:w="600" w:type="dxa"/>
            <w:tcBorders>
              <w:top w:val="nil"/>
              <w:left w:val="single" w:sz="4" w:space="0" w:color="auto"/>
              <w:bottom w:val="nil"/>
              <w:right w:val="single" w:sz="4" w:space="0" w:color="auto"/>
            </w:tcBorders>
            <w:tcMar>
              <w:top w:w="0" w:type="dxa"/>
              <w:left w:w="2" w:type="dxa"/>
              <w:bottom w:w="0" w:type="dxa"/>
              <w:right w:w="2" w:type="dxa"/>
            </w:tcMar>
            <w:hideMark/>
          </w:tcPr>
          <w:p w14:paraId="5F77C721" w14:textId="77777777" w:rsidR="005D07A6" w:rsidRDefault="005D07A6"/>
        </w:tc>
        <w:tc>
          <w:tcPr>
            <w:tcW w:w="600" w:type="dxa"/>
            <w:tcBorders>
              <w:top w:val="nil"/>
              <w:left w:val="single" w:sz="4" w:space="0" w:color="auto"/>
              <w:bottom w:val="nil"/>
              <w:right w:val="single" w:sz="4" w:space="0" w:color="auto"/>
            </w:tcBorders>
            <w:tcMar>
              <w:top w:w="0" w:type="dxa"/>
              <w:left w:w="2" w:type="dxa"/>
              <w:bottom w:w="0" w:type="dxa"/>
              <w:right w:w="2" w:type="dxa"/>
            </w:tcMar>
            <w:hideMark/>
          </w:tcPr>
          <w:p w14:paraId="111F2A9D" w14:textId="77777777" w:rsidR="005D07A6" w:rsidRDefault="005D07A6"/>
        </w:tc>
        <w:tc>
          <w:tcPr>
            <w:tcW w:w="480" w:type="dxa"/>
            <w:tcBorders>
              <w:top w:val="nil"/>
              <w:left w:val="single" w:sz="4" w:space="0" w:color="auto"/>
              <w:bottom w:val="nil"/>
              <w:right w:val="single" w:sz="4" w:space="0" w:color="auto"/>
            </w:tcBorders>
            <w:tcMar>
              <w:top w:w="0" w:type="dxa"/>
              <w:left w:w="2" w:type="dxa"/>
              <w:bottom w:w="0" w:type="dxa"/>
              <w:right w:w="2" w:type="dxa"/>
            </w:tcMar>
            <w:hideMark/>
          </w:tcPr>
          <w:p w14:paraId="73B2728B" w14:textId="77777777" w:rsidR="005D07A6" w:rsidRDefault="005D07A6"/>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1FE13077" w14:textId="77777777" w:rsidR="005D07A6" w:rsidRDefault="005D07A6"/>
        </w:tc>
        <w:tc>
          <w:tcPr>
            <w:tcW w:w="6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D0D0359" w14:textId="77777777" w:rsidR="005D07A6" w:rsidRDefault="00F42774">
            <w:pPr>
              <w:pStyle w:val="TA1"/>
              <w:jc w:val="right"/>
              <w:rPr>
                <w:rFonts w:eastAsiaTheme="minorEastAsia"/>
              </w:rPr>
            </w:pPr>
            <w:r>
              <w:t>10 000</w:t>
            </w:r>
          </w:p>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17463710" w14:textId="77777777" w:rsidR="005D07A6" w:rsidRDefault="00F42774">
            <w:pPr>
              <w:pStyle w:val="TA1"/>
              <w:jc w:val="right"/>
              <w:rPr>
                <w:rFonts w:eastAsiaTheme="minorEastAsia"/>
              </w:rPr>
            </w:pPr>
            <w:r>
              <w:t>2,05</w:t>
            </w:r>
          </w:p>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BBB3075" w14:textId="77777777" w:rsidR="005D07A6" w:rsidRDefault="00F42774">
            <w:pPr>
              <w:pStyle w:val="TA1"/>
              <w:jc w:val="right"/>
              <w:rPr>
                <w:rFonts w:eastAsiaTheme="minorEastAsia"/>
              </w:rPr>
            </w:pPr>
            <w:r>
              <w:t>20 500</w:t>
            </w:r>
          </w:p>
        </w:tc>
      </w:tr>
      <w:tr w:rsidR="005D07A6" w14:paraId="1D9F4C7F" w14:textId="77777777">
        <w:tc>
          <w:tcPr>
            <w:tcW w:w="45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653A404" w14:textId="77777777" w:rsidR="005D07A6" w:rsidRDefault="005D07A6"/>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1C7FD06" w14:textId="77777777" w:rsidR="005D07A6" w:rsidRDefault="005D07A6"/>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042CBA3" w14:textId="77777777" w:rsidR="005D07A6" w:rsidRDefault="005D07A6"/>
        </w:tc>
        <w:tc>
          <w:tcPr>
            <w:tcW w:w="6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D8AFAD1" w14:textId="77777777" w:rsidR="005D07A6" w:rsidRDefault="005D07A6"/>
        </w:tc>
        <w:tc>
          <w:tcPr>
            <w:tcW w:w="6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7C4EC29" w14:textId="77777777" w:rsidR="005D07A6" w:rsidRDefault="005D07A6"/>
        </w:tc>
        <w:tc>
          <w:tcPr>
            <w:tcW w:w="48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8A49843" w14:textId="77777777" w:rsidR="005D07A6" w:rsidRDefault="005D07A6"/>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D724B75" w14:textId="77777777" w:rsidR="005D07A6" w:rsidRDefault="005D07A6"/>
        </w:tc>
        <w:tc>
          <w:tcPr>
            <w:tcW w:w="6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4C5B0EF" w14:textId="77777777" w:rsidR="005D07A6" w:rsidRDefault="00F42774">
            <w:pPr>
              <w:pStyle w:val="TA1"/>
              <w:jc w:val="right"/>
              <w:rPr>
                <w:rFonts w:eastAsiaTheme="minorEastAsia"/>
              </w:rPr>
            </w:pPr>
            <w:r>
              <w:t>18 000</w:t>
            </w:r>
          </w:p>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F2163BE" w14:textId="77777777" w:rsidR="005D07A6" w:rsidRDefault="005D07A6"/>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EFC3C3A" w14:textId="77777777" w:rsidR="005D07A6" w:rsidRDefault="00F42774">
            <w:pPr>
              <w:pStyle w:val="TA1"/>
              <w:jc w:val="right"/>
              <w:rPr>
                <w:rFonts w:eastAsiaTheme="minorEastAsia"/>
              </w:rPr>
            </w:pPr>
            <w:r>
              <w:t>36 500</w:t>
            </w:r>
          </w:p>
        </w:tc>
      </w:tr>
    </w:tbl>
    <w:p w14:paraId="03466C4C" w14:textId="77777777" w:rsidR="005D07A6" w:rsidRDefault="00F42774">
      <w:pPr>
        <w:pStyle w:val="TNiv1"/>
        <w:rPr>
          <w:rFonts w:eastAsiaTheme="minorEastAsia"/>
        </w:rPr>
      </w:pPr>
      <w:r>
        <w:t>CMUP après chaque entrée</w:t>
      </w:r>
    </w:p>
    <w:tbl>
      <w:tblPr>
        <w:tblW w:w="7637" w:type="dxa"/>
        <w:tblInd w:w="1701" w:type="dxa"/>
        <w:tblLook w:val="04A0" w:firstRow="1" w:lastRow="0" w:firstColumn="1" w:lastColumn="0" w:noHBand="0" w:noVBand="1"/>
      </w:tblPr>
      <w:tblGrid>
        <w:gridCol w:w="590"/>
        <w:gridCol w:w="863"/>
        <w:gridCol w:w="613"/>
        <w:gridCol w:w="907"/>
        <w:gridCol w:w="767"/>
        <w:gridCol w:w="613"/>
        <w:gridCol w:w="907"/>
        <w:gridCol w:w="863"/>
        <w:gridCol w:w="594"/>
        <w:gridCol w:w="920"/>
      </w:tblGrid>
      <w:tr w:rsidR="005D07A6" w14:paraId="44397C1D" w14:textId="77777777">
        <w:tc>
          <w:tcPr>
            <w:tcW w:w="435" w:type="dxa"/>
            <w:tcBorders>
              <w:top w:val="nil"/>
              <w:left w:val="nil"/>
              <w:bottom w:val="nil"/>
              <w:right w:val="single" w:sz="4" w:space="0" w:color="auto"/>
            </w:tcBorders>
            <w:tcMar>
              <w:top w:w="0" w:type="dxa"/>
              <w:left w:w="2" w:type="dxa"/>
              <w:bottom w:w="0" w:type="dxa"/>
              <w:right w:w="2" w:type="dxa"/>
            </w:tcMar>
            <w:hideMark/>
          </w:tcPr>
          <w:p w14:paraId="3FB55003" w14:textId="77777777" w:rsidR="005D07A6" w:rsidRDefault="005D07A6"/>
        </w:tc>
        <w:tc>
          <w:tcPr>
            <w:tcW w:w="67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9CB69F8" w14:textId="77777777" w:rsidR="005D07A6" w:rsidRDefault="00F42774">
            <w:pPr>
              <w:pStyle w:val="TA1"/>
              <w:jc w:val="center"/>
              <w:rPr>
                <w:rFonts w:eastAsiaTheme="minorEastAsia"/>
              </w:rPr>
            </w:pPr>
            <w:r>
              <w:rPr>
                <w:b/>
                <w:bCs/>
              </w:rPr>
              <w:t>Entrées</w:t>
            </w:r>
          </w:p>
        </w:tc>
        <w:tc>
          <w:tcPr>
            <w:tcW w:w="600"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BAD28A1" w14:textId="77777777" w:rsidR="005D07A6" w:rsidRDefault="00F42774">
            <w:pPr>
              <w:pStyle w:val="TA1"/>
              <w:jc w:val="center"/>
              <w:rPr>
                <w:rFonts w:eastAsiaTheme="minorEastAsia"/>
              </w:rPr>
            </w:pPr>
            <w:r>
              <w:rPr>
                <w:b/>
                <w:bCs/>
              </w:rPr>
              <w:t>Sorties</w:t>
            </w:r>
          </w:p>
        </w:tc>
        <w:tc>
          <w:tcPr>
            <w:tcW w:w="67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CFCAB04" w14:textId="77777777" w:rsidR="005D07A6" w:rsidRDefault="00F42774">
            <w:pPr>
              <w:pStyle w:val="TA1"/>
              <w:jc w:val="center"/>
              <w:rPr>
                <w:rFonts w:eastAsiaTheme="minorEastAsia"/>
              </w:rPr>
            </w:pPr>
            <w:r>
              <w:rPr>
                <w:b/>
                <w:bCs/>
              </w:rPr>
              <w:t>Stocks</w:t>
            </w:r>
          </w:p>
        </w:tc>
      </w:tr>
      <w:tr w:rsidR="005D07A6" w14:paraId="4ED1666E" w14:textId="77777777">
        <w:tc>
          <w:tcPr>
            <w:tcW w:w="435" w:type="dxa"/>
            <w:tcBorders>
              <w:top w:val="nil"/>
              <w:left w:val="nil"/>
              <w:bottom w:val="single" w:sz="4" w:space="0" w:color="auto"/>
              <w:right w:val="single" w:sz="4" w:space="0" w:color="auto"/>
            </w:tcBorders>
            <w:tcMar>
              <w:top w:w="0" w:type="dxa"/>
              <w:left w:w="2" w:type="dxa"/>
              <w:bottom w:w="0" w:type="dxa"/>
              <w:right w:w="2" w:type="dxa"/>
            </w:tcMar>
            <w:hideMark/>
          </w:tcPr>
          <w:p w14:paraId="6C5B3F32" w14:textId="77777777" w:rsidR="005D07A6" w:rsidRDefault="005D07A6"/>
        </w:tc>
        <w:tc>
          <w:tcPr>
            <w:tcW w:w="67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3945921" w14:textId="77777777" w:rsidR="005D07A6" w:rsidRDefault="00F42774">
            <w:pPr>
              <w:pStyle w:val="TA1"/>
              <w:jc w:val="center"/>
              <w:rPr>
                <w:rFonts w:eastAsiaTheme="minorEastAsia"/>
              </w:rPr>
            </w:pPr>
            <w:r>
              <w:rPr>
                <w:b/>
                <w:bCs/>
              </w:rPr>
              <w:t>Q</w:t>
            </w:r>
          </w:p>
        </w:tc>
        <w:tc>
          <w:tcPr>
            <w:tcW w:w="48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D2BF31E" w14:textId="77777777" w:rsidR="005D07A6" w:rsidRDefault="00F42774">
            <w:pPr>
              <w:pStyle w:val="TA1"/>
              <w:jc w:val="center"/>
              <w:rPr>
                <w:rFonts w:eastAsiaTheme="minorEastAsia"/>
              </w:rPr>
            </w:pPr>
            <w:r>
              <w:rPr>
                <w:b/>
                <w:bCs/>
              </w:rPr>
              <w:t>CU</w:t>
            </w:r>
          </w:p>
        </w:tc>
        <w:tc>
          <w:tcPr>
            <w:tcW w:w="60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A1AC593" w14:textId="77777777" w:rsidR="005D07A6" w:rsidRDefault="00F42774">
            <w:pPr>
              <w:pStyle w:val="TA1"/>
              <w:jc w:val="center"/>
              <w:rPr>
                <w:rFonts w:eastAsiaTheme="minorEastAsia"/>
              </w:rPr>
            </w:pPr>
            <w:r>
              <w:rPr>
                <w:b/>
                <w:bCs/>
              </w:rPr>
              <w:t>Montant</w:t>
            </w:r>
          </w:p>
        </w:tc>
        <w:tc>
          <w:tcPr>
            <w:tcW w:w="60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01A8607" w14:textId="77777777" w:rsidR="005D07A6" w:rsidRDefault="00F42774">
            <w:pPr>
              <w:pStyle w:val="TA1"/>
              <w:jc w:val="center"/>
              <w:rPr>
                <w:rFonts w:eastAsiaTheme="minorEastAsia"/>
              </w:rPr>
            </w:pPr>
            <w:r>
              <w:rPr>
                <w:b/>
                <w:bCs/>
              </w:rPr>
              <w:t>Q</w:t>
            </w:r>
          </w:p>
        </w:tc>
        <w:tc>
          <w:tcPr>
            <w:tcW w:w="48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494640E" w14:textId="77777777" w:rsidR="005D07A6" w:rsidRDefault="00F42774">
            <w:pPr>
              <w:pStyle w:val="TA1"/>
              <w:jc w:val="center"/>
              <w:rPr>
                <w:rFonts w:eastAsiaTheme="minorEastAsia"/>
              </w:rPr>
            </w:pPr>
            <w:r>
              <w:rPr>
                <w:b/>
                <w:bCs/>
              </w:rPr>
              <w:t>CU</w:t>
            </w:r>
          </w:p>
        </w:tc>
        <w:tc>
          <w:tcPr>
            <w:tcW w:w="60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BCF38B1" w14:textId="77777777" w:rsidR="005D07A6" w:rsidRDefault="00F42774">
            <w:pPr>
              <w:pStyle w:val="TA1"/>
              <w:jc w:val="center"/>
              <w:rPr>
                <w:rFonts w:eastAsiaTheme="minorEastAsia"/>
              </w:rPr>
            </w:pPr>
            <w:r>
              <w:rPr>
                <w:b/>
                <w:bCs/>
              </w:rPr>
              <w:t>Montant</w:t>
            </w:r>
          </w:p>
        </w:tc>
        <w:tc>
          <w:tcPr>
            <w:tcW w:w="67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7BEAAB5" w14:textId="77777777" w:rsidR="005D07A6" w:rsidRDefault="00F42774">
            <w:pPr>
              <w:pStyle w:val="TA1"/>
              <w:jc w:val="center"/>
              <w:rPr>
                <w:rFonts w:eastAsiaTheme="minorEastAsia"/>
              </w:rPr>
            </w:pPr>
            <w:r>
              <w:rPr>
                <w:b/>
                <w:bCs/>
              </w:rPr>
              <w:t>Q</w:t>
            </w:r>
          </w:p>
        </w:tc>
        <w:tc>
          <w:tcPr>
            <w:tcW w:w="46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8A7CDF3" w14:textId="77777777" w:rsidR="005D07A6" w:rsidRDefault="00F42774">
            <w:pPr>
              <w:pStyle w:val="TA1"/>
              <w:jc w:val="center"/>
              <w:rPr>
                <w:rFonts w:eastAsiaTheme="minorEastAsia"/>
              </w:rPr>
            </w:pPr>
            <w:r>
              <w:rPr>
                <w:b/>
                <w:bCs/>
              </w:rPr>
              <w:t>CU</w:t>
            </w:r>
          </w:p>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894C836" w14:textId="77777777" w:rsidR="005D07A6" w:rsidRDefault="00F42774">
            <w:pPr>
              <w:pStyle w:val="TA1"/>
              <w:jc w:val="center"/>
              <w:rPr>
                <w:rFonts w:eastAsiaTheme="minorEastAsia"/>
              </w:rPr>
            </w:pPr>
            <w:r>
              <w:rPr>
                <w:b/>
                <w:bCs/>
              </w:rPr>
              <w:t>Montant</w:t>
            </w:r>
          </w:p>
        </w:tc>
      </w:tr>
      <w:tr w:rsidR="005D07A6" w14:paraId="2084CF34" w14:textId="77777777">
        <w:tc>
          <w:tcPr>
            <w:tcW w:w="4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253673F" w14:textId="77777777" w:rsidR="005D07A6" w:rsidRDefault="00F42774">
            <w:pPr>
              <w:pStyle w:val="TA1"/>
              <w:rPr>
                <w:rFonts w:eastAsiaTheme="minorEastAsia"/>
              </w:rPr>
            </w:pPr>
            <w:r>
              <w:t>01/03</w:t>
            </w:r>
          </w:p>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4ACBB32" w14:textId="77777777" w:rsidR="005D07A6" w:rsidRDefault="005D07A6"/>
        </w:tc>
        <w:tc>
          <w:tcPr>
            <w:tcW w:w="4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19648CD" w14:textId="77777777" w:rsidR="005D07A6" w:rsidRDefault="005D07A6"/>
        </w:tc>
        <w:tc>
          <w:tcPr>
            <w:tcW w:w="6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D73BFEF" w14:textId="77777777" w:rsidR="005D07A6" w:rsidRDefault="005D07A6"/>
        </w:tc>
        <w:tc>
          <w:tcPr>
            <w:tcW w:w="6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C96F709" w14:textId="77777777" w:rsidR="005D07A6" w:rsidRDefault="005D07A6"/>
        </w:tc>
        <w:tc>
          <w:tcPr>
            <w:tcW w:w="4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68FEB7D" w14:textId="77777777" w:rsidR="005D07A6" w:rsidRDefault="005D07A6"/>
        </w:tc>
        <w:tc>
          <w:tcPr>
            <w:tcW w:w="6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A49DE5F" w14:textId="77777777" w:rsidR="005D07A6" w:rsidRDefault="005D07A6"/>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EE4B2B0" w14:textId="77777777" w:rsidR="005D07A6" w:rsidRDefault="00F42774">
            <w:pPr>
              <w:pStyle w:val="TA1"/>
              <w:jc w:val="right"/>
              <w:rPr>
                <w:rFonts w:eastAsiaTheme="minorEastAsia"/>
              </w:rPr>
            </w:pPr>
            <w:r>
              <w:t>10 000</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6A7CB0C" w14:textId="77777777" w:rsidR="005D07A6" w:rsidRDefault="00F42774">
            <w:pPr>
              <w:pStyle w:val="TA1"/>
              <w:jc w:val="center"/>
              <w:rPr>
                <w:rFonts w:eastAsiaTheme="minorEastAsia"/>
              </w:rPr>
            </w:pPr>
            <w:r>
              <w:t>2,000</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E2585A5" w14:textId="77777777" w:rsidR="005D07A6" w:rsidRDefault="00F42774">
            <w:pPr>
              <w:pStyle w:val="TA1"/>
              <w:jc w:val="right"/>
              <w:rPr>
                <w:rFonts w:eastAsiaTheme="minorEastAsia"/>
              </w:rPr>
            </w:pPr>
            <w:r>
              <w:t>20 000</w:t>
            </w:r>
          </w:p>
        </w:tc>
      </w:tr>
      <w:tr w:rsidR="005D07A6" w14:paraId="1F69BEFF" w14:textId="77777777">
        <w:tc>
          <w:tcPr>
            <w:tcW w:w="43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20DC393" w14:textId="77777777" w:rsidR="005D07A6" w:rsidRDefault="00F42774">
            <w:pPr>
              <w:pStyle w:val="TA1"/>
              <w:rPr>
                <w:rFonts w:eastAsiaTheme="minorEastAsia"/>
              </w:rPr>
            </w:pPr>
            <w:r>
              <w:t>15/03</w:t>
            </w:r>
          </w:p>
        </w:tc>
        <w:tc>
          <w:tcPr>
            <w:tcW w:w="6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514B566" w14:textId="77777777" w:rsidR="005D07A6" w:rsidRDefault="00F42774">
            <w:pPr>
              <w:pStyle w:val="TA1"/>
              <w:jc w:val="right"/>
              <w:rPr>
                <w:rFonts w:eastAsiaTheme="minorEastAsia"/>
              </w:rPr>
            </w:pPr>
            <w:r>
              <w:t>6 000</w:t>
            </w:r>
          </w:p>
        </w:tc>
        <w:tc>
          <w:tcPr>
            <w:tcW w:w="48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67FB91D" w14:textId="77777777" w:rsidR="005D07A6" w:rsidRDefault="00F42774">
            <w:pPr>
              <w:pStyle w:val="TA1"/>
              <w:jc w:val="right"/>
              <w:rPr>
                <w:rFonts w:eastAsiaTheme="minorEastAsia"/>
              </w:rPr>
            </w:pPr>
            <w:r>
              <w:t>2,20</w:t>
            </w:r>
          </w:p>
        </w:tc>
        <w:tc>
          <w:tcPr>
            <w:tcW w:w="6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CED43B5" w14:textId="77777777" w:rsidR="005D07A6" w:rsidRDefault="00F42774">
            <w:pPr>
              <w:pStyle w:val="TA1"/>
              <w:jc w:val="right"/>
              <w:rPr>
                <w:rFonts w:eastAsiaTheme="minorEastAsia"/>
              </w:rPr>
            </w:pPr>
            <w:r>
              <w:t>13 200</w:t>
            </w:r>
          </w:p>
        </w:tc>
        <w:tc>
          <w:tcPr>
            <w:tcW w:w="6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54B5D1B" w14:textId="77777777" w:rsidR="005D07A6" w:rsidRDefault="005D07A6"/>
        </w:tc>
        <w:tc>
          <w:tcPr>
            <w:tcW w:w="48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73FB372" w14:textId="77777777" w:rsidR="005D07A6" w:rsidRDefault="005D07A6"/>
        </w:tc>
        <w:tc>
          <w:tcPr>
            <w:tcW w:w="6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1D3DFB4" w14:textId="77777777" w:rsidR="005D07A6" w:rsidRDefault="005D07A6"/>
        </w:tc>
        <w:tc>
          <w:tcPr>
            <w:tcW w:w="6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839B437" w14:textId="77777777" w:rsidR="005D07A6" w:rsidRDefault="00F42774">
            <w:pPr>
              <w:pStyle w:val="TA1"/>
              <w:jc w:val="right"/>
              <w:rPr>
                <w:rFonts w:eastAsiaTheme="minorEastAsia"/>
              </w:rPr>
            </w:pPr>
            <w:r>
              <w:t>10 000</w:t>
            </w:r>
          </w:p>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8C361D3" w14:textId="77777777" w:rsidR="005D07A6" w:rsidRDefault="00F42774">
            <w:pPr>
              <w:pStyle w:val="TA1"/>
              <w:jc w:val="center"/>
              <w:rPr>
                <w:rFonts w:eastAsiaTheme="minorEastAsia"/>
              </w:rPr>
            </w:pPr>
            <w:r>
              <w:t>2,000</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A8C9CD8" w14:textId="77777777" w:rsidR="005D07A6" w:rsidRDefault="00F42774">
            <w:pPr>
              <w:pStyle w:val="TA1"/>
              <w:jc w:val="right"/>
              <w:rPr>
                <w:rFonts w:eastAsiaTheme="minorEastAsia"/>
              </w:rPr>
            </w:pPr>
            <w:r>
              <w:t>20 000</w:t>
            </w:r>
          </w:p>
        </w:tc>
      </w:tr>
      <w:tr w:rsidR="005D07A6" w14:paraId="595F0FC5" w14:textId="77777777">
        <w:tc>
          <w:tcPr>
            <w:tcW w:w="435" w:type="dxa"/>
            <w:tcBorders>
              <w:top w:val="nil"/>
              <w:left w:val="single" w:sz="4" w:space="0" w:color="auto"/>
              <w:bottom w:val="nil"/>
              <w:right w:val="single" w:sz="4" w:space="0" w:color="auto"/>
            </w:tcBorders>
            <w:tcMar>
              <w:top w:w="0" w:type="dxa"/>
              <w:left w:w="2" w:type="dxa"/>
              <w:bottom w:w="0" w:type="dxa"/>
              <w:right w:w="2" w:type="dxa"/>
            </w:tcMar>
            <w:hideMark/>
          </w:tcPr>
          <w:p w14:paraId="36D0FCC7" w14:textId="77777777" w:rsidR="005D07A6" w:rsidRDefault="005D07A6"/>
        </w:tc>
        <w:tc>
          <w:tcPr>
            <w:tcW w:w="675" w:type="dxa"/>
            <w:tcBorders>
              <w:top w:val="nil"/>
              <w:left w:val="single" w:sz="4" w:space="0" w:color="auto"/>
              <w:bottom w:val="nil"/>
              <w:right w:val="single" w:sz="4" w:space="0" w:color="auto"/>
            </w:tcBorders>
            <w:tcMar>
              <w:top w:w="0" w:type="dxa"/>
              <w:left w:w="2" w:type="dxa"/>
              <w:bottom w:w="0" w:type="dxa"/>
              <w:right w:w="2" w:type="dxa"/>
            </w:tcMar>
            <w:hideMark/>
          </w:tcPr>
          <w:p w14:paraId="0A7E245B" w14:textId="77777777" w:rsidR="005D07A6" w:rsidRDefault="005D07A6"/>
        </w:tc>
        <w:tc>
          <w:tcPr>
            <w:tcW w:w="480" w:type="dxa"/>
            <w:tcBorders>
              <w:top w:val="nil"/>
              <w:left w:val="single" w:sz="4" w:space="0" w:color="auto"/>
              <w:bottom w:val="nil"/>
              <w:right w:val="single" w:sz="4" w:space="0" w:color="auto"/>
            </w:tcBorders>
            <w:tcMar>
              <w:top w:w="0" w:type="dxa"/>
              <w:left w:w="2" w:type="dxa"/>
              <w:bottom w:w="0" w:type="dxa"/>
              <w:right w:w="2" w:type="dxa"/>
            </w:tcMar>
            <w:hideMark/>
          </w:tcPr>
          <w:p w14:paraId="2445642B" w14:textId="77777777" w:rsidR="005D07A6" w:rsidRDefault="005D07A6"/>
        </w:tc>
        <w:tc>
          <w:tcPr>
            <w:tcW w:w="600" w:type="dxa"/>
            <w:tcBorders>
              <w:top w:val="nil"/>
              <w:left w:val="single" w:sz="4" w:space="0" w:color="auto"/>
              <w:bottom w:val="nil"/>
              <w:right w:val="single" w:sz="4" w:space="0" w:color="auto"/>
            </w:tcBorders>
            <w:tcMar>
              <w:top w:w="0" w:type="dxa"/>
              <w:left w:w="2" w:type="dxa"/>
              <w:bottom w:w="0" w:type="dxa"/>
              <w:right w:w="2" w:type="dxa"/>
            </w:tcMar>
            <w:hideMark/>
          </w:tcPr>
          <w:p w14:paraId="15208670" w14:textId="77777777" w:rsidR="005D07A6" w:rsidRDefault="005D07A6"/>
        </w:tc>
        <w:tc>
          <w:tcPr>
            <w:tcW w:w="600" w:type="dxa"/>
            <w:tcBorders>
              <w:top w:val="nil"/>
              <w:left w:val="single" w:sz="4" w:space="0" w:color="auto"/>
              <w:bottom w:val="nil"/>
              <w:right w:val="single" w:sz="4" w:space="0" w:color="auto"/>
            </w:tcBorders>
            <w:tcMar>
              <w:top w:w="0" w:type="dxa"/>
              <w:left w:w="2" w:type="dxa"/>
              <w:bottom w:w="0" w:type="dxa"/>
              <w:right w:w="2" w:type="dxa"/>
            </w:tcMar>
            <w:hideMark/>
          </w:tcPr>
          <w:p w14:paraId="1BD22EBD" w14:textId="77777777" w:rsidR="005D07A6" w:rsidRDefault="005D07A6"/>
        </w:tc>
        <w:tc>
          <w:tcPr>
            <w:tcW w:w="480" w:type="dxa"/>
            <w:tcBorders>
              <w:top w:val="nil"/>
              <w:left w:val="single" w:sz="4" w:space="0" w:color="auto"/>
              <w:bottom w:val="nil"/>
              <w:right w:val="single" w:sz="4" w:space="0" w:color="auto"/>
            </w:tcBorders>
            <w:tcMar>
              <w:top w:w="0" w:type="dxa"/>
              <w:left w:w="2" w:type="dxa"/>
              <w:bottom w:w="0" w:type="dxa"/>
              <w:right w:w="2" w:type="dxa"/>
            </w:tcMar>
            <w:hideMark/>
          </w:tcPr>
          <w:p w14:paraId="6957B70A" w14:textId="77777777" w:rsidR="005D07A6" w:rsidRDefault="005D07A6"/>
        </w:tc>
        <w:tc>
          <w:tcPr>
            <w:tcW w:w="600" w:type="dxa"/>
            <w:tcBorders>
              <w:top w:val="nil"/>
              <w:left w:val="single" w:sz="4" w:space="0" w:color="auto"/>
              <w:bottom w:val="nil"/>
              <w:right w:val="single" w:sz="4" w:space="0" w:color="auto"/>
            </w:tcBorders>
            <w:tcMar>
              <w:top w:w="0" w:type="dxa"/>
              <w:left w:w="2" w:type="dxa"/>
              <w:bottom w:w="0" w:type="dxa"/>
              <w:right w:w="2" w:type="dxa"/>
            </w:tcMar>
            <w:hideMark/>
          </w:tcPr>
          <w:p w14:paraId="6515E52E" w14:textId="77777777" w:rsidR="005D07A6" w:rsidRDefault="005D07A6"/>
        </w:tc>
        <w:tc>
          <w:tcPr>
            <w:tcW w:w="6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405FACB" w14:textId="77777777" w:rsidR="005D07A6" w:rsidRDefault="00F42774">
            <w:pPr>
              <w:pStyle w:val="TA1"/>
              <w:jc w:val="right"/>
              <w:rPr>
                <w:rFonts w:eastAsiaTheme="minorEastAsia"/>
              </w:rPr>
            </w:pPr>
            <w:r>
              <w:t>6 000</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4472F27F" w14:textId="77777777" w:rsidR="005D07A6" w:rsidRDefault="00F42774">
            <w:pPr>
              <w:pStyle w:val="TA1"/>
              <w:jc w:val="center"/>
              <w:rPr>
                <w:rFonts w:eastAsiaTheme="minorEastAsia"/>
              </w:rPr>
            </w:pPr>
            <w:r>
              <w:t>2,200</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8CDC72F" w14:textId="77777777" w:rsidR="005D07A6" w:rsidRDefault="00F42774">
            <w:pPr>
              <w:pStyle w:val="TA1"/>
              <w:jc w:val="right"/>
              <w:rPr>
                <w:rFonts w:eastAsiaTheme="minorEastAsia"/>
              </w:rPr>
            </w:pPr>
            <w:r>
              <w:t>13 200</w:t>
            </w:r>
          </w:p>
        </w:tc>
      </w:tr>
      <w:tr w:rsidR="005D07A6" w14:paraId="7533F90F" w14:textId="77777777">
        <w:tc>
          <w:tcPr>
            <w:tcW w:w="43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EECCD29" w14:textId="77777777" w:rsidR="005D07A6" w:rsidRDefault="005D07A6"/>
        </w:tc>
        <w:tc>
          <w:tcPr>
            <w:tcW w:w="6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D877A81" w14:textId="77777777" w:rsidR="005D07A6" w:rsidRDefault="005D07A6"/>
        </w:tc>
        <w:tc>
          <w:tcPr>
            <w:tcW w:w="48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173942F" w14:textId="77777777" w:rsidR="005D07A6" w:rsidRDefault="005D07A6"/>
        </w:tc>
        <w:tc>
          <w:tcPr>
            <w:tcW w:w="6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A08A970" w14:textId="77777777" w:rsidR="005D07A6" w:rsidRDefault="005D07A6"/>
        </w:tc>
        <w:tc>
          <w:tcPr>
            <w:tcW w:w="6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95909C7" w14:textId="77777777" w:rsidR="005D07A6" w:rsidRDefault="005D07A6"/>
        </w:tc>
        <w:tc>
          <w:tcPr>
            <w:tcW w:w="48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7D8D3D5" w14:textId="77777777" w:rsidR="005D07A6" w:rsidRDefault="005D07A6"/>
        </w:tc>
        <w:tc>
          <w:tcPr>
            <w:tcW w:w="6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4438997" w14:textId="77777777" w:rsidR="005D07A6" w:rsidRDefault="005D07A6"/>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E023F52" w14:textId="77777777" w:rsidR="005D07A6" w:rsidRDefault="00F42774">
            <w:pPr>
              <w:pStyle w:val="TA1"/>
              <w:jc w:val="right"/>
              <w:rPr>
                <w:rFonts w:eastAsiaTheme="minorEastAsia"/>
              </w:rPr>
            </w:pPr>
            <w:r>
              <w:t>16 000</w:t>
            </w:r>
          </w:p>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74401FB" w14:textId="77777777" w:rsidR="005D07A6" w:rsidRDefault="00F42774">
            <w:pPr>
              <w:pStyle w:val="TA1"/>
              <w:jc w:val="center"/>
              <w:rPr>
                <w:rFonts w:eastAsiaTheme="minorEastAsia"/>
              </w:rPr>
            </w:pPr>
            <w:r>
              <w:t>2,075</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70CE82D" w14:textId="77777777" w:rsidR="005D07A6" w:rsidRDefault="00F42774">
            <w:pPr>
              <w:pStyle w:val="TA1"/>
              <w:jc w:val="right"/>
              <w:rPr>
                <w:rFonts w:eastAsiaTheme="minorEastAsia"/>
              </w:rPr>
            </w:pPr>
            <w:r>
              <w:t>33 200</w:t>
            </w:r>
          </w:p>
        </w:tc>
      </w:tr>
      <w:tr w:rsidR="005D07A6" w14:paraId="3F1F98BA" w14:textId="77777777">
        <w:tc>
          <w:tcPr>
            <w:tcW w:w="4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5E6B82C" w14:textId="77777777" w:rsidR="005D07A6" w:rsidRDefault="00F42774">
            <w:pPr>
              <w:pStyle w:val="TA1"/>
              <w:rPr>
                <w:rFonts w:eastAsiaTheme="minorEastAsia"/>
              </w:rPr>
            </w:pPr>
            <w:r>
              <w:t>20/03</w:t>
            </w:r>
          </w:p>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F345669" w14:textId="77777777" w:rsidR="005D07A6" w:rsidRDefault="005D07A6"/>
        </w:tc>
        <w:tc>
          <w:tcPr>
            <w:tcW w:w="4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5E3DF98" w14:textId="77777777" w:rsidR="005D07A6" w:rsidRDefault="005D07A6"/>
        </w:tc>
        <w:tc>
          <w:tcPr>
            <w:tcW w:w="6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205C82C" w14:textId="77777777" w:rsidR="005D07A6" w:rsidRDefault="005D07A6"/>
        </w:tc>
        <w:tc>
          <w:tcPr>
            <w:tcW w:w="6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2DD26DC" w14:textId="77777777" w:rsidR="005D07A6" w:rsidRDefault="00F42774">
            <w:pPr>
              <w:pStyle w:val="TA1"/>
              <w:jc w:val="right"/>
              <w:rPr>
                <w:rFonts w:eastAsiaTheme="minorEastAsia"/>
              </w:rPr>
            </w:pPr>
            <w:r>
              <w:t>8 000</w:t>
            </w:r>
          </w:p>
        </w:tc>
        <w:tc>
          <w:tcPr>
            <w:tcW w:w="4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928AED3" w14:textId="77777777" w:rsidR="005D07A6" w:rsidRDefault="00F42774">
            <w:pPr>
              <w:pStyle w:val="TA1"/>
              <w:jc w:val="right"/>
              <w:rPr>
                <w:rFonts w:eastAsiaTheme="minorEastAsia"/>
              </w:rPr>
            </w:pPr>
            <w:r>
              <w:t>2,075</w:t>
            </w:r>
          </w:p>
        </w:tc>
        <w:tc>
          <w:tcPr>
            <w:tcW w:w="6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8C79385" w14:textId="77777777" w:rsidR="005D07A6" w:rsidRDefault="00F42774">
            <w:pPr>
              <w:pStyle w:val="TA1"/>
              <w:jc w:val="right"/>
              <w:rPr>
                <w:rFonts w:eastAsiaTheme="minorEastAsia"/>
              </w:rPr>
            </w:pPr>
            <w:r>
              <w:t>16 600</w:t>
            </w:r>
          </w:p>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B731801" w14:textId="77777777" w:rsidR="005D07A6" w:rsidRDefault="00F42774">
            <w:pPr>
              <w:pStyle w:val="TA1"/>
              <w:jc w:val="right"/>
              <w:rPr>
                <w:rFonts w:eastAsiaTheme="minorEastAsia"/>
              </w:rPr>
            </w:pPr>
            <w:r>
              <w:t>8 000</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96CAB2A" w14:textId="77777777" w:rsidR="005D07A6" w:rsidRDefault="00F42774">
            <w:pPr>
              <w:pStyle w:val="TA1"/>
              <w:jc w:val="center"/>
              <w:rPr>
                <w:rFonts w:eastAsiaTheme="minorEastAsia"/>
              </w:rPr>
            </w:pPr>
            <w:r>
              <w:t>2,075</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8EF4B10" w14:textId="77777777" w:rsidR="005D07A6" w:rsidRDefault="00F42774">
            <w:pPr>
              <w:pStyle w:val="TA1"/>
              <w:jc w:val="right"/>
              <w:rPr>
                <w:rFonts w:eastAsiaTheme="minorEastAsia"/>
              </w:rPr>
            </w:pPr>
            <w:r>
              <w:t>16 600</w:t>
            </w:r>
          </w:p>
        </w:tc>
      </w:tr>
      <w:tr w:rsidR="005D07A6" w14:paraId="54D3A0E5" w14:textId="77777777">
        <w:tc>
          <w:tcPr>
            <w:tcW w:w="43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A32F156" w14:textId="77777777" w:rsidR="005D07A6" w:rsidRDefault="00F42774">
            <w:pPr>
              <w:pStyle w:val="TA1"/>
              <w:rPr>
                <w:rFonts w:eastAsiaTheme="minorEastAsia"/>
              </w:rPr>
            </w:pPr>
            <w:r>
              <w:t>28/03</w:t>
            </w:r>
          </w:p>
        </w:tc>
        <w:tc>
          <w:tcPr>
            <w:tcW w:w="6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F613AF2" w14:textId="77777777" w:rsidR="005D07A6" w:rsidRDefault="00F42774">
            <w:pPr>
              <w:pStyle w:val="TA1"/>
              <w:jc w:val="right"/>
              <w:rPr>
                <w:rFonts w:eastAsiaTheme="minorEastAsia"/>
              </w:rPr>
            </w:pPr>
            <w:r>
              <w:t>10 000</w:t>
            </w:r>
          </w:p>
        </w:tc>
        <w:tc>
          <w:tcPr>
            <w:tcW w:w="48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01F336C" w14:textId="77777777" w:rsidR="005D07A6" w:rsidRDefault="00F42774">
            <w:pPr>
              <w:pStyle w:val="TA1"/>
              <w:jc w:val="right"/>
              <w:rPr>
                <w:rFonts w:eastAsiaTheme="minorEastAsia"/>
              </w:rPr>
            </w:pPr>
            <w:r>
              <w:t>2,05</w:t>
            </w:r>
          </w:p>
        </w:tc>
        <w:tc>
          <w:tcPr>
            <w:tcW w:w="6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804AA73" w14:textId="77777777" w:rsidR="005D07A6" w:rsidRDefault="00F42774">
            <w:pPr>
              <w:pStyle w:val="TA1"/>
              <w:jc w:val="right"/>
              <w:rPr>
                <w:rFonts w:eastAsiaTheme="minorEastAsia"/>
              </w:rPr>
            </w:pPr>
            <w:r>
              <w:t>20 500</w:t>
            </w:r>
          </w:p>
        </w:tc>
        <w:tc>
          <w:tcPr>
            <w:tcW w:w="6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60BCD0D" w14:textId="77777777" w:rsidR="005D07A6" w:rsidRDefault="005D07A6"/>
        </w:tc>
        <w:tc>
          <w:tcPr>
            <w:tcW w:w="48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DC64C4F" w14:textId="77777777" w:rsidR="005D07A6" w:rsidRDefault="005D07A6"/>
        </w:tc>
        <w:tc>
          <w:tcPr>
            <w:tcW w:w="6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B6A2B58" w14:textId="77777777" w:rsidR="005D07A6" w:rsidRDefault="005D07A6"/>
        </w:tc>
        <w:tc>
          <w:tcPr>
            <w:tcW w:w="6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30DB519" w14:textId="77777777" w:rsidR="005D07A6" w:rsidRDefault="00F42774">
            <w:pPr>
              <w:pStyle w:val="TA1"/>
              <w:jc w:val="right"/>
              <w:rPr>
                <w:rFonts w:eastAsiaTheme="minorEastAsia"/>
              </w:rPr>
            </w:pPr>
            <w:r>
              <w:t>8 000</w:t>
            </w:r>
          </w:p>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FE949AA" w14:textId="77777777" w:rsidR="005D07A6" w:rsidRDefault="00F42774">
            <w:pPr>
              <w:pStyle w:val="TA1"/>
              <w:jc w:val="center"/>
              <w:rPr>
                <w:rFonts w:eastAsiaTheme="minorEastAsia"/>
              </w:rPr>
            </w:pPr>
            <w:r>
              <w:t>2,075</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3BBC079" w14:textId="77777777" w:rsidR="005D07A6" w:rsidRDefault="00F42774">
            <w:pPr>
              <w:pStyle w:val="TA1"/>
              <w:jc w:val="right"/>
              <w:rPr>
                <w:rFonts w:eastAsiaTheme="minorEastAsia"/>
              </w:rPr>
            </w:pPr>
            <w:r>
              <w:t>16 600</w:t>
            </w:r>
          </w:p>
        </w:tc>
      </w:tr>
      <w:tr w:rsidR="005D07A6" w14:paraId="5E6992EF" w14:textId="77777777">
        <w:tc>
          <w:tcPr>
            <w:tcW w:w="435" w:type="dxa"/>
            <w:tcBorders>
              <w:top w:val="nil"/>
              <w:left w:val="single" w:sz="4" w:space="0" w:color="auto"/>
              <w:bottom w:val="nil"/>
              <w:right w:val="single" w:sz="4" w:space="0" w:color="auto"/>
            </w:tcBorders>
            <w:tcMar>
              <w:top w:w="0" w:type="dxa"/>
              <w:left w:w="2" w:type="dxa"/>
              <w:bottom w:w="0" w:type="dxa"/>
              <w:right w:w="2" w:type="dxa"/>
            </w:tcMar>
            <w:hideMark/>
          </w:tcPr>
          <w:p w14:paraId="55D06135" w14:textId="77777777" w:rsidR="005D07A6" w:rsidRDefault="005D07A6"/>
        </w:tc>
        <w:tc>
          <w:tcPr>
            <w:tcW w:w="675" w:type="dxa"/>
            <w:tcBorders>
              <w:top w:val="nil"/>
              <w:left w:val="single" w:sz="4" w:space="0" w:color="auto"/>
              <w:bottom w:val="nil"/>
              <w:right w:val="single" w:sz="4" w:space="0" w:color="auto"/>
            </w:tcBorders>
            <w:tcMar>
              <w:top w:w="0" w:type="dxa"/>
              <w:left w:w="2" w:type="dxa"/>
              <w:bottom w:w="0" w:type="dxa"/>
              <w:right w:w="2" w:type="dxa"/>
            </w:tcMar>
            <w:hideMark/>
          </w:tcPr>
          <w:p w14:paraId="362E1D4C" w14:textId="77777777" w:rsidR="005D07A6" w:rsidRDefault="005D07A6"/>
        </w:tc>
        <w:tc>
          <w:tcPr>
            <w:tcW w:w="480" w:type="dxa"/>
            <w:tcBorders>
              <w:top w:val="nil"/>
              <w:left w:val="single" w:sz="4" w:space="0" w:color="auto"/>
              <w:bottom w:val="nil"/>
              <w:right w:val="single" w:sz="4" w:space="0" w:color="auto"/>
            </w:tcBorders>
            <w:tcMar>
              <w:top w:w="0" w:type="dxa"/>
              <w:left w:w="2" w:type="dxa"/>
              <w:bottom w:w="0" w:type="dxa"/>
              <w:right w:w="2" w:type="dxa"/>
            </w:tcMar>
            <w:hideMark/>
          </w:tcPr>
          <w:p w14:paraId="2226CDCB" w14:textId="77777777" w:rsidR="005D07A6" w:rsidRDefault="005D07A6"/>
        </w:tc>
        <w:tc>
          <w:tcPr>
            <w:tcW w:w="600" w:type="dxa"/>
            <w:tcBorders>
              <w:top w:val="nil"/>
              <w:left w:val="single" w:sz="4" w:space="0" w:color="auto"/>
              <w:bottom w:val="nil"/>
              <w:right w:val="single" w:sz="4" w:space="0" w:color="auto"/>
            </w:tcBorders>
            <w:tcMar>
              <w:top w:w="0" w:type="dxa"/>
              <w:left w:w="2" w:type="dxa"/>
              <w:bottom w:w="0" w:type="dxa"/>
              <w:right w:w="2" w:type="dxa"/>
            </w:tcMar>
            <w:hideMark/>
          </w:tcPr>
          <w:p w14:paraId="45B1AEC6" w14:textId="77777777" w:rsidR="005D07A6" w:rsidRDefault="005D07A6"/>
        </w:tc>
        <w:tc>
          <w:tcPr>
            <w:tcW w:w="600" w:type="dxa"/>
            <w:tcBorders>
              <w:top w:val="nil"/>
              <w:left w:val="single" w:sz="4" w:space="0" w:color="auto"/>
              <w:bottom w:val="nil"/>
              <w:right w:val="single" w:sz="4" w:space="0" w:color="auto"/>
            </w:tcBorders>
            <w:tcMar>
              <w:top w:w="0" w:type="dxa"/>
              <w:left w:w="2" w:type="dxa"/>
              <w:bottom w:w="0" w:type="dxa"/>
              <w:right w:w="2" w:type="dxa"/>
            </w:tcMar>
            <w:hideMark/>
          </w:tcPr>
          <w:p w14:paraId="4C8ACD74" w14:textId="77777777" w:rsidR="005D07A6" w:rsidRDefault="005D07A6"/>
        </w:tc>
        <w:tc>
          <w:tcPr>
            <w:tcW w:w="480" w:type="dxa"/>
            <w:tcBorders>
              <w:top w:val="nil"/>
              <w:left w:val="single" w:sz="4" w:space="0" w:color="auto"/>
              <w:bottom w:val="nil"/>
              <w:right w:val="single" w:sz="4" w:space="0" w:color="auto"/>
            </w:tcBorders>
            <w:tcMar>
              <w:top w:w="0" w:type="dxa"/>
              <w:left w:w="2" w:type="dxa"/>
              <w:bottom w:w="0" w:type="dxa"/>
              <w:right w:w="2" w:type="dxa"/>
            </w:tcMar>
            <w:hideMark/>
          </w:tcPr>
          <w:p w14:paraId="03F8A7B9" w14:textId="77777777" w:rsidR="005D07A6" w:rsidRDefault="005D07A6"/>
        </w:tc>
        <w:tc>
          <w:tcPr>
            <w:tcW w:w="600" w:type="dxa"/>
            <w:tcBorders>
              <w:top w:val="nil"/>
              <w:left w:val="single" w:sz="4" w:space="0" w:color="auto"/>
              <w:bottom w:val="nil"/>
              <w:right w:val="single" w:sz="4" w:space="0" w:color="auto"/>
            </w:tcBorders>
            <w:tcMar>
              <w:top w:w="0" w:type="dxa"/>
              <w:left w:w="2" w:type="dxa"/>
              <w:bottom w:w="0" w:type="dxa"/>
              <w:right w:w="2" w:type="dxa"/>
            </w:tcMar>
            <w:hideMark/>
          </w:tcPr>
          <w:p w14:paraId="754709BE" w14:textId="77777777" w:rsidR="005D07A6" w:rsidRDefault="005D07A6"/>
        </w:tc>
        <w:tc>
          <w:tcPr>
            <w:tcW w:w="6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14DBE4D" w14:textId="77777777" w:rsidR="005D07A6" w:rsidRDefault="00F42774">
            <w:pPr>
              <w:pStyle w:val="TA1"/>
              <w:jc w:val="right"/>
              <w:rPr>
                <w:rFonts w:eastAsiaTheme="minorEastAsia"/>
              </w:rPr>
            </w:pPr>
            <w:r>
              <w:t>10 000</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5E8A689C" w14:textId="77777777" w:rsidR="005D07A6" w:rsidRDefault="00F42774">
            <w:pPr>
              <w:pStyle w:val="TA1"/>
              <w:jc w:val="center"/>
              <w:rPr>
                <w:rFonts w:eastAsiaTheme="minorEastAsia"/>
              </w:rPr>
            </w:pPr>
            <w:r>
              <w:t>2,050</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EDC244D" w14:textId="77777777" w:rsidR="005D07A6" w:rsidRDefault="00F42774">
            <w:pPr>
              <w:pStyle w:val="TA1"/>
              <w:jc w:val="right"/>
              <w:rPr>
                <w:rFonts w:eastAsiaTheme="minorEastAsia"/>
              </w:rPr>
            </w:pPr>
            <w:r>
              <w:t>20 500</w:t>
            </w:r>
          </w:p>
        </w:tc>
      </w:tr>
      <w:tr w:rsidR="005D07A6" w14:paraId="64D03E0D" w14:textId="77777777">
        <w:tc>
          <w:tcPr>
            <w:tcW w:w="43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336C97F" w14:textId="77777777" w:rsidR="005D07A6" w:rsidRDefault="005D07A6"/>
        </w:tc>
        <w:tc>
          <w:tcPr>
            <w:tcW w:w="6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7DCCB7A" w14:textId="77777777" w:rsidR="005D07A6" w:rsidRDefault="005D07A6"/>
        </w:tc>
        <w:tc>
          <w:tcPr>
            <w:tcW w:w="48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C76E5F5" w14:textId="77777777" w:rsidR="005D07A6" w:rsidRDefault="005D07A6"/>
        </w:tc>
        <w:tc>
          <w:tcPr>
            <w:tcW w:w="6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860AB4A" w14:textId="77777777" w:rsidR="005D07A6" w:rsidRDefault="005D07A6"/>
        </w:tc>
        <w:tc>
          <w:tcPr>
            <w:tcW w:w="6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F981411" w14:textId="77777777" w:rsidR="005D07A6" w:rsidRDefault="005D07A6"/>
        </w:tc>
        <w:tc>
          <w:tcPr>
            <w:tcW w:w="48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846B660" w14:textId="77777777" w:rsidR="005D07A6" w:rsidRDefault="005D07A6"/>
        </w:tc>
        <w:tc>
          <w:tcPr>
            <w:tcW w:w="6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BCF77C8" w14:textId="77777777" w:rsidR="005D07A6" w:rsidRDefault="005D07A6"/>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1333DF9" w14:textId="77777777" w:rsidR="005D07A6" w:rsidRDefault="00F42774">
            <w:pPr>
              <w:pStyle w:val="TA1"/>
              <w:jc w:val="right"/>
              <w:rPr>
                <w:rFonts w:eastAsiaTheme="minorEastAsia"/>
              </w:rPr>
            </w:pPr>
            <w:r>
              <w:t>18 000</w:t>
            </w:r>
          </w:p>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5DD5F4A" w14:textId="77777777" w:rsidR="005D07A6" w:rsidRDefault="00F42774">
            <w:pPr>
              <w:pStyle w:val="TA1"/>
              <w:jc w:val="center"/>
              <w:rPr>
                <w:rFonts w:eastAsiaTheme="minorEastAsia"/>
              </w:rPr>
            </w:pPr>
            <w:r>
              <w:t>2,061</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89D4798" w14:textId="77777777" w:rsidR="005D07A6" w:rsidRDefault="00F42774">
            <w:pPr>
              <w:pStyle w:val="TA1"/>
              <w:jc w:val="right"/>
              <w:rPr>
                <w:rFonts w:eastAsiaTheme="minorEastAsia"/>
              </w:rPr>
            </w:pPr>
            <w:r>
              <w:t>37 100</w:t>
            </w:r>
          </w:p>
        </w:tc>
      </w:tr>
    </w:tbl>
    <w:p w14:paraId="23E95C87" w14:textId="77777777" w:rsidR="005D07A6" w:rsidRDefault="00F42774">
      <w:pPr>
        <w:pStyle w:val="TNiv1"/>
        <w:rPr>
          <w:rFonts w:eastAsiaTheme="minorEastAsia"/>
        </w:rPr>
      </w:pPr>
      <w:r>
        <w:t>CMUP de fin de période</w:t>
      </w:r>
    </w:p>
    <w:tbl>
      <w:tblPr>
        <w:tblW w:w="7677" w:type="dxa"/>
        <w:tblInd w:w="1701" w:type="dxa"/>
        <w:tblLook w:val="04A0" w:firstRow="1" w:lastRow="0" w:firstColumn="1" w:lastColumn="0" w:noHBand="0" w:noVBand="1"/>
      </w:tblPr>
      <w:tblGrid>
        <w:gridCol w:w="944"/>
        <w:gridCol w:w="944"/>
        <w:gridCol w:w="945"/>
        <w:gridCol w:w="945"/>
        <w:gridCol w:w="945"/>
        <w:gridCol w:w="945"/>
        <w:gridCol w:w="945"/>
        <w:gridCol w:w="1064"/>
      </w:tblGrid>
      <w:tr w:rsidR="005D07A6" w14:paraId="55920361" w14:textId="77777777">
        <w:tc>
          <w:tcPr>
            <w:tcW w:w="720" w:type="dxa"/>
            <w:gridSpan w:val="4"/>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A8F7EC9" w14:textId="77777777" w:rsidR="005D07A6" w:rsidRDefault="00F42774">
            <w:pPr>
              <w:pStyle w:val="TA1"/>
              <w:jc w:val="center"/>
              <w:rPr>
                <w:rFonts w:eastAsiaTheme="minorEastAsia"/>
              </w:rPr>
            </w:pPr>
            <w:r>
              <w:rPr>
                <w:b/>
                <w:bCs/>
              </w:rPr>
              <w:t>Débit</w:t>
            </w:r>
          </w:p>
        </w:tc>
        <w:tc>
          <w:tcPr>
            <w:tcW w:w="720" w:type="dxa"/>
            <w:gridSpan w:val="4"/>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DFFB364" w14:textId="77777777" w:rsidR="005D07A6" w:rsidRDefault="00F42774">
            <w:pPr>
              <w:pStyle w:val="TA1"/>
              <w:jc w:val="center"/>
              <w:rPr>
                <w:rFonts w:eastAsiaTheme="minorEastAsia"/>
              </w:rPr>
            </w:pPr>
            <w:r>
              <w:rPr>
                <w:b/>
                <w:bCs/>
              </w:rPr>
              <w:t>Crédit</w:t>
            </w:r>
          </w:p>
        </w:tc>
      </w:tr>
      <w:tr w:rsidR="005D07A6" w14:paraId="0E001AEF" w14:textId="77777777">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D988A69" w14:textId="77777777" w:rsidR="005D07A6" w:rsidRDefault="005D07A6"/>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002C6BF" w14:textId="77777777" w:rsidR="005D07A6" w:rsidRDefault="00F42774">
            <w:pPr>
              <w:pStyle w:val="TA1"/>
              <w:jc w:val="center"/>
              <w:rPr>
                <w:rFonts w:eastAsiaTheme="minorEastAsia"/>
              </w:rPr>
            </w:pPr>
            <w:r>
              <w:rPr>
                <w:b/>
                <w:bCs/>
              </w:rPr>
              <w:t>Q</w:t>
            </w:r>
          </w:p>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58F56BE" w14:textId="77777777" w:rsidR="005D07A6" w:rsidRDefault="00F42774">
            <w:pPr>
              <w:pStyle w:val="TA1"/>
              <w:jc w:val="center"/>
              <w:rPr>
                <w:rFonts w:eastAsiaTheme="minorEastAsia"/>
              </w:rPr>
            </w:pPr>
            <w:r>
              <w:rPr>
                <w:b/>
                <w:bCs/>
              </w:rPr>
              <w:t>CU</w:t>
            </w:r>
          </w:p>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6FF8A32" w14:textId="77777777" w:rsidR="005D07A6" w:rsidRDefault="00F42774">
            <w:pPr>
              <w:pStyle w:val="TA1"/>
              <w:jc w:val="center"/>
              <w:rPr>
                <w:rFonts w:eastAsiaTheme="minorEastAsia"/>
              </w:rPr>
            </w:pPr>
            <w:r>
              <w:rPr>
                <w:b/>
                <w:bCs/>
              </w:rPr>
              <w:t>Montant</w:t>
            </w:r>
          </w:p>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4656B78" w14:textId="77777777" w:rsidR="005D07A6" w:rsidRDefault="005D07A6"/>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1D8A320" w14:textId="77777777" w:rsidR="005D07A6" w:rsidRDefault="00F42774">
            <w:pPr>
              <w:pStyle w:val="TA1"/>
              <w:jc w:val="center"/>
              <w:rPr>
                <w:rFonts w:eastAsiaTheme="minorEastAsia"/>
              </w:rPr>
            </w:pPr>
            <w:r>
              <w:rPr>
                <w:b/>
                <w:bCs/>
              </w:rPr>
              <w:t>Q</w:t>
            </w:r>
          </w:p>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EF6D5DE" w14:textId="77777777" w:rsidR="005D07A6" w:rsidRDefault="00F42774">
            <w:pPr>
              <w:pStyle w:val="TA1"/>
              <w:jc w:val="center"/>
              <w:rPr>
                <w:rFonts w:eastAsiaTheme="minorEastAsia"/>
              </w:rPr>
            </w:pPr>
            <w:r>
              <w:rPr>
                <w:b/>
                <w:bCs/>
              </w:rPr>
              <w:t>CU</w:t>
            </w:r>
          </w:p>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E779E49" w14:textId="77777777" w:rsidR="005D07A6" w:rsidRDefault="00F42774">
            <w:pPr>
              <w:pStyle w:val="TA1"/>
              <w:jc w:val="center"/>
              <w:rPr>
                <w:rFonts w:eastAsiaTheme="minorEastAsia"/>
              </w:rPr>
            </w:pPr>
            <w:r>
              <w:rPr>
                <w:b/>
                <w:bCs/>
              </w:rPr>
              <w:t>Montant</w:t>
            </w:r>
          </w:p>
        </w:tc>
      </w:tr>
      <w:tr w:rsidR="005D07A6" w14:paraId="665221A1" w14:textId="77777777">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515F015" w14:textId="77777777" w:rsidR="005D07A6" w:rsidRDefault="00F42774">
            <w:pPr>
              <w:pStyle w:val="TA1"/>
              <w:rPr>
                <w:rFonts w:eastAsiaTheme="minorEastAsia"/>
              </w:rPr>
            </w:pPr>
            <w:r>
              <w:t>01/03</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5A82461" w14:textId="77777777" w:rsidR="005D07A6" w:rsidRDefault="00F42774">
            <w:pPr>
              <w:pStyle w:val="TA1"/>
              <w:jc w:val="right"/>
              <w:rPr>
                <w:rFonts w:eastAsiaTheme="minorEastAsia"/>
              </w:rPr>
            </w:pPr>
            <w:r>
              <w:t>10 000</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E887368" w14:textId="77777777" w:rsidR="005D07A6" w:rsidRDefault="00F42774">
            <w:pPr>
              <w:pStyle w:val="TA1"/>
              <w:jc w:val="right"/>
              <w:rPr>
                <w:rFonts w:eastAsiaTheme="minorEastAsia"/>
              </w:rPr>
            </w:pPr>
            <w:r>
              <w:t>2,00</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3C03247" w14:textId="77777777" w:rsidR="005D07A6" w:rsidRDefault="00F42774">
            <w:pPr>
              <w:pStyle w:val="TA1"/>
              <w:jc w:val="right"/>
              <w:rPr>
                <w:rFonts w:eastAsiaTheme="minorEastAsia"/>
              </w:rPr>
            </w:pPr>
            <w:r>
              <w:t>20 000</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F558AEF" w14:textId="77777777" w:rsidR="005D07A6" w:rsidRDefault="00F42774">
            <w:pPr>
              <w:pStyle w:val="TA1"/>
              <w:rPr>
                <w:rFonts w:eastAsiaTheme="minorEastAsia"/>
              </w:rPr>
            </w:pPr>
            <w:r>
              <w:t>Sorties</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FBFD50F" w14:textId="77777777" w:rsidR="005D07A6" w:rsidRDefault="00F42774">
            <w:pPr>
              <w:pStyle w:val="TA1"/>
              <w:jc w:val="right"/>
              <w:rPr>
                <w:rFonts w:eastAsiaTheme="minorEastAsia"/>
              </w:rPr>
            </w:pPr>
            <w:r>
              <w:t>8 000</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D5D58F3" w14:textId="77777777" w:rsidR="005D07A6" w:rsidRDefault="00F42774">
            <w:pPr>
              <w:pStyle w:val="TA1"/>
              <w:jc w:val="right"/>
              <w:rPr>
                <w:rFonts w:eastAsiaTheme="minorEastAsia"/>
              </w:rPr>
            </w:pPr>
            <w:r>
              <w:t>2,06538</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12A141B" w14:textId="77777777" w:rsidR="005D07A6" w:rsidRDefault="00F42774">
            <w:pPr>
              <w:pStyle w:val="TA1"/>
              <w:jc w:val="right"/>
              <w:rPr>
                <w:rFonts w:eastAsiaTheme="minorEastAsia"/>
              </w:rPr>
            </w:pPr>
            <w:r>
              <w:t>16 523,08</w:t>
            </w:r>
          </w:p>
        </w:tc>
      </w:tr>
      <w:tr w:rsidR="005D07A6" w14:paraId="62E7240A" w14:textId="77777777">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77E104D0" w14:textId="77777777" w:rsidR="005D07A6" w:rsidRDefault="00F42774">
            <w:pPr>
              <w:pStyle w:val="TA1"/>
              <w:rPr>
                <w:rFonts w:eastAsiaTheme="minorEastAsia"/>
              </w:rPr>
            </w:pPr>
            <w:r>
              <w:t>15/03</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0E828BEA" w14:textId="77777777" w:rsidR="005D07A6" w:rsidRDefault="00F42774">
            <w:pPr>
              <w:pStyle w:val="TA1"/>
              <w:jc w:val="right"/>
              <w:rPr>
                <w:rFonts w:eastAsiaTheme="minorEastAsia"/>
              </w:rPr>
            </w:pPr>
            <w:r>
              <w:t>6 000</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413E364C" w14:textId="77777777" w:rsidR="005D07A6" w:rsidRDefault="00F42774">
            <w:pPr>
              <w:pStyle w:val="TA1"/>
              <w:jc w:val="right"/>
              <w:rPr>
                <w:rFonts w:eastAsiaTheme="minorEastAsia"/>
              </w:rPr>
            </w:pPr>
            <w:r>
              <w:t>2,20</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0AB5D47C" w14:textId="77777777" w:rsidR="005D07A6" w:rsidRDefault="00F42774">
            <w:pPr>
              <w:pStyle w:val="TA1"/>
              <w:jc w:val="right"/>
              <w:rPr>
                <w:rFonts w:eastAsiaTheme="minorEastAsia"/>
              </w:rPr>
            </w:pPr>
            <w:r>
              <w:t>13 200</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7CA54879" w14:textId="77777777" w:rsidR="005D07A6" w:rsidRDefault="00F42774">
            <w:pPr>
              <w:pStyle w:val="TA1"/>
              <w:rPr>
                <w:rFonts w:eastAsiaTheme="minorEastAsia"/>
              </w:rPr>
            </w:pPr>
            <w:r>
              <w:t>Stock final</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6BDA4955" w14:textId="77777777" w:rsidR="005D07A6" w:rsidRDefault="00F42774">
            <w:pPr>
              <w:pStyle w:val="TA1"/>
              <w:jc w:val="right"/>
              <w:rPr>
                <w:rFonts w:eastAsiaTheme="minorEastAsia"/>
              </w:rPr>
            </w:pPr>
            <w:r>
              <w:t>18 000</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303C39FE" w14:textId="77777777" w:rsidR="005D07A6" w:rsidRDefault="00F42774">
            <w:pPr>
              <w:pStyle w:val="TA1"/>
              <w:jc w:val="right"/>
              <w:rPr>
                <w:rFonts w:eastAsiaTheme="minorEastAsia"/>
              </w:rPr>
            </w:pPr>
            <w:r>
              <w:t>2,06538</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11897F59" w14:textId="77777777" w:rsidR="005D07A6" w:rsidRDefault="00F42774">
            <w:pPr>
              <w:pStyle w:val="TA1"/>
              <w:jc w:val="right"/>
              <w:rPr>
                <w:rFonts w:eastAsiaTheme="minorEastAsia"/>
              </w:rPr>
            </w:pPr>
            <w:r>
              <w:t>37 176,92</w:t>
            </w:r>
          </w:p>
        </w:tc>
      </w:tr>
      <w:tr w:rsidR="005D07A6" w14:paraId="6FE69926" w14:textId="77777777">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85E8200" w14:textId="77777777" w:rsidR="005D07A6" w:rsidRDefault="00F42774">
            <w:pPr>
              <w:pStyle w:val="TA1"/>
              <w:rPr>
                <w:rFonts w:eastAsiaTheme="minorEastAsia"/>
              </w:rPr>
            </w:pPr>
            <w:r>
              <w:t>28/03</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CAE2932" w14:textId="77777777" w:rsidR="005D07A6" w:rsidRDefault="00F42774">
            <w:pPr>
              <w:pStyle w:val="TA1"/>
              <w:jc w:val="right"/>
              <w:rPr>
                <w:rFonts w:eastAsiaTheme="minorEastAsia"/>
              </w:rPr>
            </w:pPr>
            <w:r>
              <w:t>10 000</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06F2BEC" w14:textId="77777777" w:rsidR="005D07A6" w:rsidRDefault="00F42774">
            <w:pPr>
              <w:pStyle w:val="TA1"/>
              <w:jc w:val="right"/>
              <w:rPr>
                <w:rFonts w:eastAsiaTheme="minorEastAsia"/>
              </w:rPr>
            </w:pPr>
            <w:r>
              <w:t>2,05</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3F4BE86" w14:textId="77777777" w:rsidR="005D07A6" w:rsidRDefault="00F42774">
            <w:pPr>
              <w:pStyle w:val="TA1"/>
              <w:jc w:val="right"/>
              <w:rPr>
                <w:rFonts w:eastAsiaTheme="minorEastAsia"/>
              </w:rPr>
            </w:pPr>
            <w:r>
              <w:t>20 500</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F3DE097" w14:textId="77777777" w:rsidR="005D07A6" w:rsidRDefault="005D07A6"/>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3DDD1DB" w14:textId="77777777" w:rsidR="005D07A6" w:rsidRDefault="005D07A6"/>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FC87F9A" w14:textId="77777777" w:rsidR="005D07A6" w:rsidRDefault="005D07A6"/>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9D3DD89" w14:textId="77777777" w:rsidR="005D07A6" w:rsidRDefault="005D07A6"/>
        </w:tc>
      </w:tr>
      <w:tr w:rsidR="005D07A6" w14:paraId="268441F4" w14:textId="77777777">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C8E3279"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6334CE8" w14:textId="77777777" w:rsidR="005D07A6" w:rsidRDefault="00F42774">
            <w:pPr>
              <w:pStyle w:val="TA1"/>
              <w:jc w:val="right"/>
              <w:rPr>
                <w:rFonts w:eastAsiaTheme="minorEastAsia"/>
              </w:rPr>
            </w:pPr>
            <w:r>
              <w:t>26 000</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91A515A" w14:textId="77777777" w:rsidR="005D07A6" w:rsidRDefault="00F42774">
            <w:pPr>
              <w:pStyle w:val="TA1"/>
              <w:jc w:val="right"/>
              <w:rPr>
                <w:rFonts w:eastAsiaTheme="minorEastAsia"/>
              </w:rPr>
            </w:pPr>
            <w:r>
              <w:t>2,06538</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1AFA0EA" w14:textId="77777777" w:rsidR="005D07A6" w:rsidRDefault="00F42774">
            <w:pPr>
              <w:pStyle w:val="TA1"/>
              <w:jc w:val="right"/>
              <w:rPr>
                <w:rFonts w:eastAsiaTheme="minorEastAsia"/>
              </w:rPr>
            </w:pPr>
            <w:r>
              <w:t>53 700</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9BD2C30"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9551EF4" w14:textId="77777777" w:rsidR="005D07A6" w:rsidRDefault="00F42774">
            <w:pPr>
              <w:pStyle w:val="TA1"/>
              <w:jc w:val="right"/>
              <w:rPr>
                <w:rFonts w:eastAsiaTheme="minorEastAsia"/>
              </w:rPr>
            </w:pPr>
            <w:r>
              <w:t>26 000</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19157AD"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FDD43F1" w14:textId="77777777" w:rsidR="005D07A6" w:rsidRDefault="00F42774">
            <w:pPr>
              <w:pStyle w:val="TA1"/>
              <w:jc w:val="right"/>
              <w:rPr>
                <w:rFonts w:eastAsiaTheme="minorEastAsia"/>
              </w:rPr>
            </w:pPr>
            <w:r>
              <w:t>53 700</w:t>
            </w:r>
          </w:p>
        </w:tc>
      </w:tr>
    </w:tbl>
    <w:p w14:paraId="3AE304EF" w14:textId="77777777" w:rsidR="005D07A6" w:rsidRDefault="00F42774">
      <w:pPr>
        <w:pStyle w:val="finfiletr"/>
        <w:rPr>
          <w:rFonts w:eastAsiaTheme="minorEastAsia"/>
        </w:rPr>
      </w:pPr>
      <w:r>
        <w:t>Fin Application</w:t>
      </w:r>
    </w:p>
    <w:p w14:paraId="32410FC1" w14:textId="77777777" w:rsidR="005D07A6" w:rsidRDefault="00F42774">
      <w:pPr>
        <w:pStyle w:val="T4"/>
      </w:pPr>
      <w:r>
        <w:t>III.</w:t>
      </w:r>
      <w:r>
        <w:tab/>
        <w:t>Les différences d’inventaire</w:t>
      </w:r>
    </w:p>
    <w:p w14:paraId="05062B2B" w14:textId="77777777" w:rsidR="005D07A6" w:rsidRDefault="00F42774">
      <w:pPr>
        <w:pStyle w:val="CTEspDessous"/>
      </w:pPr>
      <w:r>
        <w:t xml:space="preserve">Quand, dans un énoncé, le stock final est donné, il convient de vérifier s’il n’y a pas de différences d’inventaire. </w:t>
      </w:r>
      <w:r>
        <w:rPr>
          <w:highlight w:val="green"/>
        </w:rPr>
        <w:fldChar w:fldCharType="begin"/>
      </w:r>
      <w:r>
        <w:rPr>
          <w:highlight w:val="green"/>
        </w:rPr>
        <w:instrText xml:space="preserve"> XE "</w:instrText>
      </w:r>
      <w:r>
        <w:rPr>
          <w:noProof/>
          <w:highlight w:val="green"/>
        </w:rPr>
        <w:instrText>Différence</w:instrText>
      </w:r>
      <w:r>
        <w:rPr>
          <w:highlight w:val="green"/>
        </w:rPr>
        <w:instrText>:</w:instrText>
      </w:r>
      <w:r>
        <w:rPr>
          <w:noProof/>
          <w:highlight w:val="green"/>
        </w:rPr>
        <w:instrText>– d’inventaire</w:instrText>
      </w:r>
      <w:r>
        <w:rPr>
          <w:highlight w:val="green"/>
        </w:rPr>
        <w:instrText xml:space="preserve">" </w:instrText>
      </w:r>
      <w:r>
        <w:rPr>
          <w:highlight w:val="green"/>
        </w:rPr>
        <w:fldChar w:fldCharType="end"/>
      </w:r>
    </w:p>
    <w:p w14:paraId="58B2D21B" w14:textId="77777777" w:rsidR="005D07A6" w:rsidRDefault="00F42774">
      <w:pPr>
        <w:pStyle w:val="CTEspDessous"/>
      </w:pPr>
      <w:r>
        <w:t>L’origine peut être d’ordre comptable (entrée ou sortie mal enregistrée) ou physique (vol, par exemple).</w:t>
      </w:r>
    </w:p>
    <w:p w14:paraId="5F334C91" w14:textId="77777777" w:rsidR="005D07A6" w:rsidRDefault="00F42774">
      <w:pPr>
        <w:pStyle w:val="debutfiletr"/>
      </w:pPr>
      <w:r>
        <w:t>Application _n-6</w:t>
      </w:r>
    </w:p>
    <w:p w14:paraId="4E0D530E" w14:textId="77777777" w:rsidR="005D07A6" w:rsidRDefault="00F42774">
      <w:pPr>
        <w:pStyle w:val="CT"/>
      </w:pPr>
      <w:r>
        <w:t>Les sorties de stock sont valorisées selon la méthode du coût moyen unitaire pondéré de fin de période.</w:t>
      </w:r>
    </w:p>
    <w:p w14:paraId="70382E01" w14:textId="77777777" w:rsidR="005D07A6" w:rsidRDefault="00F42774">
      <w:pPr>
        <w:pStyle w:val="TNiv1"/>
      </w:pPr>
      <w:r>
        <w:t>Hypothèse 1 : le stock final est égal à 17 800 kg</w:t>
      </w:r>
    </w:p>
    <w:p w14:paraId="3649C81C" w14:textId="77777777" w:rsidR="005D07A6" w:rsidRDefault="00F42774">
      <w:pPr>
        <w:pStyle w:val="CT"/>
      </w:pPr>
      <w:r>
        <w:t>Le stock théorique étant de 18 000, il y a un mali d’inventaire de 200 kg. Les consommations ont été sous-évaluées.</w:t>
      </w:r>
    </w:p>
    <w:tbl>
      <w:tblPr>
        <w:tblW w:w="7677" w:type="dxa"/>
        <w:tblInd w:w="1701" w:type="dxa"/>
        <w:tblLook w:val="04A0" w:firstRow="1" w:lastRow="0" w:firstColumn="1" w:lastColumn="0" w:noHBand="0" w:noVBand="1"/>
      </w:tblPr>
      <w:tblGrid>
        <w:gridCol w:w="944"/>
        <w:gridCol w:w="944"/>
        <w:gridCol w:w="945"/>
        <w:gridCol w:w="945"/>
        <w:gridCol w:w="945"/>
        <w:gridCol w:w="945"/>
        <w:gridCol w:w="945"/>
        <w:gridCol w:w="1064"/>
      </w:tblGrid>
      <w:tr w:rsidR="005D07A6" w14:paraId="099E1EDD" w14:textId="77777777">
        <w:tc>
          <w:tcPr>
            <w:tcW w:w="720" w:type="dxa"/>
            <w:gridSpan w:val="4"/>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78EBBCE" w14:textId="77777777" w:rsidR="005D07A6" w:rsidRDefault="00F42774">
            <w:pPr>
              <w:pStyle w:val="TA1"/>
              <w:jc w:val="center"/>
              <w:rPr>
                <w:rFonts w:eastAsiaTheme="minorEastAsia"/>
              </w:rPr>
            </w:pPr>
            <w:r>
              <w:rPr>
                <w:b/>
                <w:bCs/>
              </w:rPr>
              <w:t>Débit</w:t>
            </w:r>
          </w:p>
        </w:tc>
        <w:tc>
          <w:tcPr>
            <w:tcW w:w="720" w:type="dxa"/>
            <w:gridSpan w:val="4"/>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9C79B50" w14:textId="77777777" w:rsidR="005D07A6" w:rsidRDefault="00F42774">
            <w:pPr>
              <w:pStyle w:val="TA1"/>
              <w:jc w:val="center"/>
              <w:rPr>
                <w:rFonts w:eastAsiaTheme="minorEastAsia"/>
              </w:rPr>
            </w:pPr>
            <w:r>
              <w:rPr>
                <w:b/>
                <w:bCs/>
              </w:rPr>
              <w:t>Crédit</w:t>
            </w:r>
          </w:p>
        </w:tc>
      </w:tr>
      <w:tr w:rsidR="005D07A6" w14:paraId="30BD46F7" w14:textId="77777777">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212ACC0" w14:textId="77777777" w:rsidR="005D07A6" w:rsidRDefault="005D07A6"/>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179F885" w14:textId="77777777" w:rsidR="005D07A6" w:rsidRDefault="00F42774">
            <w:pPr>
              <w:pStyle w:val="TA1"/>
              <w:jc w:val="center"/>
              <w:rPr>
                <w:rFonts w:eastAsiaTheme="minorEastAsia"/>
              </w:rPr>
            </w:pPr>
            <w:r>
              <w:rPr>
                <w:b/>
                <w:bCs/>
              </w:rPr>
              <w:t>Q</w:t>
            </w:r>
          </w:p>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F3FFE0D" w14:textId="77777777" w:rsidR="005D07A6" w:rsidRDefault="00F42774">
            <w:pPr>
              <w:pStyle w:val="TA1"/>
              <w:jc w:val="center"/>
              <w:rPr>
                <w:rFonts w:eastAsiaTheme="minorEastAsia"/>
              </w:rPr>
            </w:pPr>
            <w:r>
              <w:rPr>
                <w:b/>
                <w:bCs/>
              </w:rPr>
              <w:t>CU</w:t>
            </w:r>
          </w:p>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5021CC1" w14:textId="77777777" w:rsidR="005D07A6" w:rsidRDefault="00F42774">
            <w:pPr>
              <w:pStyle w:val="TA1"/>
              <w:jc w:val="center"/>
              <w:rPr>
                <w:rFonts w:eastAsiaTheme="minorEastAsia"/>
              </w:rPr>
            </w:pPr>
            <w:r>
              <w:rPr>
                <w:b/>
                <w:bCs/>
              </w:rPr>
              <w:t>Montant</w:t>
            </w:r>
          </w:p>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D15DE79" w14:textId="77777777" w:rsidR="005D07A6" w:rsidRDefault="005D07A6"/>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B0490F1" w14:textId="77777777" w:rsidR="005D07A6" w:rsidRDefault="00F42774">
            <w:pPr>
              <w:pStyle w:val="TA1"/>
              <w:jc w:val="center"/>
              <w:rPr>
                <w:rFonts w:eastAsiaTheme="minorEastAsia"/>
              </w:rPr>
            </w:pPr>
            <w:r>
              <w:rPr>
                <w:b/>
                <w:bCs/>
              </w:rPr>
              <w:t>Q</w:t>
            </w:r>
          </w:p>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9391DE1" w14:textId="77777777" w:rsidR="005D07A6" w:rsidRDefault="00F42774">
            <w:pPr>
              <w:pStyle w:val="TA1"/>
              <w:jc w:val="center"/>
              <w:rPr>
                <w:rFonts w:eastAsiaTheme="minorEastAsia"/>
              </w:rPr>
            </w:pPr>
            <w:r>
              <w:rPr>
                <w:b/>
                <w:bCs/>
              </w:rPr>
              <w:t>CU</w:t>
            </w:r>
          </w:p>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F3C20A6" w14:textId="77777777" w:rsidR="005D07A6" w:rsidRDefault="00F42774">
            <w:pPr>
              <w:pStyle w:val="TA1"/>
              <w:jc w:val="center"/>
              <w:rPr>
                <w:rFonts w:eastAsiaTheme="minorEastAsia"/>
              </w:rPr>
            </w:pPr>
            <w:r>
              <w:rPr>
                <w:b/>
                <w:bCs/>
              </w:rPr>
              <w:t>Montant</w:t>
            </w:r>
          </w:p>
        </w:tc>
      </w:tr>
      <w:tr w:rsidR="005D07A6" w14:paraId="4B44AE68" w14:textId="77777777">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8583038" w14:textId="77777777" w:rsidR="005D07A6" w:rsidRDefault="00F42774">
            <w:pPr>
              <w:pStyle w:val="TA1"/>
              <w:rPr>
                <w:rFonts w:eastAsiaTheme="minorEastAsia"/>
              </w:rPr>
            </w:pPr>
            <w:r>
              <w:t>01/03</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A3EC0EB" w14:textId="77777777" w:rsidR="005D07A6" w:rsidRDefault="00F42774">
            <w:pPr>
              <w:pStyle w:val="TA1"/>
              <w:jc w:val="right"/>
              <w:rPr>
                <w:rFonts w:eastAsiaTheme="minorEastAsia"/>
              </w:rPr>
            </w:pPr>
            <w:r>
              <w:t>10 000</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47BB269" w14:textId="77777777" w:rsidR="005D07A6" w:rsidRDefault="00F42774">
            <w:pPr>
              <w:pStyle w:val="TA1"/>
              <w:jc w:val="right"/>
              <w:rPr>
                <w:rFonts w:eastAsiaTheme="minorEastAsia"/>
              </w:rPr>
            </w:pPr>
            <w:r>
              <w:t>2,00</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8786B71" w14:textId="77777777" w:rsidR="005D07A6" w:rsidRDefault="00F42774">
            <w:pPr>
              <w:pStyle w:val="TA1"/>
              <w:jc w:val="right"/>
              <w:rPr>
                <w:rFonts w:eastAsiaTheme="minorEastAsia"/>
              </w:rPr>
            </w:pPr>
            <w:r>
              <w:t>20 000</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EBEAD49" w14:textId="77777777" w:rsidR="005D07A6" w:rsidRDefault="00F42774">
            <w:pPr>
              <w:pStyle w:val="TA1"/>
              <w:rPr>
                <w:rFonts w:eastAsiaTheme="minorEastAsia"/>
              </w:rPr>
            </w:pPr>
            <w:r>
              <w:t>Sorties</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40A9E31" w14:textId="77777777" w:rsidR="005D07A6" w:rsidRDefault="00F42774">
            <w:pPr>
              <w:pStyle w:val="TA1"/>
              <w:jc w:val="right"/>
              <w:rPr>
                <w:rFonts w:eastAsiaTheme="minorEastAsia"/>
              </w:rPr>
            </w:pPr>
            <w:r>
              <w:t>8 000</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6637B05" w14:textId="77777777" w:rsidR="005D07A6" w:rsidRDefault="00F42774">
            <w:pPr>
              <w:pStyle w:val="TA1"/>
              <w:jc w:val="right"/>
              <w:rPr>
                <w:rFonts w:eastAsiaTheme="minorEastAsia"/>
              </w:rPr>
            </w:pPr>
            <w:r>
              <w:t>2,06538</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17331A7" w14:textId="77777777" w:rsidR="005D07A6" w:rsidRDefault="00F42774">
            <w:pPr>
              <w:pStyle w:val="TA1"/>
              <w:jc w:val="right"/>
              <w:rPr>
                <w:rFonts w:eastAsiaTheme="minorEastAsia"/>
              </w:rPr>
            </w:pPr>
            <w:r>
              <w:t>16 523,08</w:t>
            </w:r>
          </w:p>
        </w:tc>
      </w:tr>
      <w:tr w:rsidR="005D07A6" w14:paraId="6C0FD2DB" w14:textId="77777777">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24E3A459" w14:textId="77777777" w:rsidR="005D07A6" w:rsidRDefault="00F42774">
            <w:pPr>
              <w:pStyle w:val="TA1"/>
              <w:rPr>
                <w:rFonts w:eastAsiaTheme="minorEastAsia"/>
              </w:rPr>
            </w:pPr>
            <w:r>
              <w:t>15/03</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4C24B8A2" w14:textId="77777777" w:rsidR="005D07A6" w:rsidRDefault="00F42774">
            <w:pPr>
              <w:pStyle w:val="TA1"/>
              <w:jc w:val="right"/>
              <w:rPr>
                <w:rFonts w:eastAsiaTheme="minorEastAsia"/>
              </w:rPr>
            </w:pPr>
            <w:r>
              <w:t>6 000</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37CBF193" w14:textId="77777777" w:rsidR="005D07A6" w:rsidRDefault="00F42774">
            <w:pPr>
              <w:pStyle w:val="TA1"/>
              <w:jc w:val="right"/>
              <w:rPr>
                <w:rFonts w:eastAsiaTheme="minorEastAsia"/>
              </w:rPr>
            </w:pPr>
            <w:r>
              <w:t>2,20</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25FF5C43" w14:textId="77777777" w:rsidR="005D07A6" w:rsidRDefault="00F42774">
            <w:pPr>
              <w:pStyle w:val="TA1"/>
              <w:jc w:val="right"/>
              <w:rPr>
                <w:rFonts w:eastAsiaTheme="minorEastAsia"/>
              </w:rPr>
            </w:pPr>
            <w:r>
              <w:t>13 200</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5083313C" w14:textId="77777777" w:rsidR="005D07A6" w:rsidRDefault="00F42774">
            <w:pPr>
              <w:pStyle w:val="TA1"/>
              <w:rPr>
                <w:rFonts w:eastAsiaTheme="minorEastAsia"/>
              </w:rPr>
            </w:pPr>
            <w:r>
              <w:t>Stock final</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54049BCB" w14:textId="77777777" w:rsidR="005D07A6" w:rsidRDefault="00F42774">
            <w:pPr>
              <w:pStyle w:val="TA1"/>
              <w:jc w:val="right"/>
              <w:rPr>
                <w:rFonts w:eastAsiaTheme="minorEastAsia"/>
              </w:rPr>
            </w:pPr>
            <w:r>
              <w:rPr>
                <w:b/>
                <w:bCs/>
              </w:rPr>
              <w:t>17 800</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4FD9A226" w14:textId="77777777" w:rsidR="005D07A6" w:rsidRDefault="00F42774">
            <w:pPr>
              <w:pStyle w:val="TA1"/>
              <w:jc w:val="right"/>
              <w:rPr>
                <w:rFonts w:eastAsiaTheme="minorEastAsia"/>
              </w:rPr>
            </w:pPr>
            <w:r>
              <w:t>2,06538</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6B2E58C1" w14:textId="77777777" w:rsidR="005D07A6" w:rsidRDefault="00F42774">
            <w:pPr>
              <w:pStyle w:val="TA1"/>
              <w:jc w:val="right"/>
              <w:rPr>
                <w:rFonts w:eastAsiaTheme="minorEastAsia"/>
              </w:rPr>
            </w:pPr>
            <w:r>
              <w:t>36 763,85</w:t>
            </w:r>
          </w:p>
        </w:tc>
      </w:tr>
      <w:tr w:rsidR="005D07A6" w14:paraId="5513D615" w14:textId="77777777">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6190762" w14:textId="77777777" w:rsidR="005D07A6" w:rsidRDefault="00F42774">
            <w:pPr>
              <w:pStyle w:val="TA1"/>
              <w:rPr>
                <w:rFonts w:eastAsiaTheme="minorEastAsia"/>
              </w:rPr>
            </w:pPr>
            <w:r>
              <w:t>28/03</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93CFCC3" w14:textId="77777777" w:rsidR="005D07A6" w:rsidRDefault="00F42774">
            <w:pPr>
              <w:pStyle w:val="TA1"/>
              <w:jc w:val="right"/>
              <w:rPr>
                <w:rFonts w:eastAsiaTheme="minorEastAsia"/>
              </w:rPr>
            </w:pPr>
            <w:r>
              <w:t>10 000</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3B9AD97" w14:textId="77777777" w:rsidR="005D07A6" w:rsidRDefault="00F42774">
            <w:pPr>
              <w:pStyle w:val="TA1"/>
              <w:jc w:val="right"/>
              <w:rPr>
                <w:rFonts w:eastAsiaTheme="minorEastAsia"/>
              </w:rPr>
            </w:pPr>
            <w:r>
              <w:t>2,05</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545514B" w14:textId="77777777" w:rsidR="005D07A6" w:rsidRDefault="00F42774">
            <w:pPr>
              <w:pStyle w:val="TA1"/>
              <w:jc w:val="right"/>
              <w:rPr>
                <w:rFonts w:eastAsiaTheme="minorEastAsia"/>
              </w:rPr>
            </w:pPr>
            <w:r>
              <w:t>20 500</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F4CA979" w14:textId="77777777" w:rsidR="005D07A6" w:rsidRDefault="00F42774">
            <w:pPr>
              <w:pStyle w:val="TA1"/>
              <w:rPr>
                <w:rFonts w:eastAsiaTheme="minorEastAsia"/>
              </w:rPr>
            </w:pPr>
            <w:r>
              <w:rPr>
                <w:b/>
                <w:bCs/>
              </w:rPr>
              <w:t>Mali</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B0E7148" w14:textId="77777777" w:rsidR="005D07A6" w:rsidRDefault="00F42774">
            <w:pPr>
              <w:pStyle w:val="TA1"/>
              <w:jc w:val="right"/>
              <w:rPr>
                <w:rFonts w:eastAsiaTheme="minorEastAsia"/>
              </w:rPr>
            </w:pPr>
            <w:r>
              <w:rPr>
                <w:b/>
                <w:bCs/>
              </w:rPr>
              <w:t>200</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41CA768" w14:textId="77777777" w:rsidR="005D07A6" w:rsidRDefault="00F42774">
            <w:pPr>
              <w:pStyle w:val="TA1"/>
              <w:jc w:val="right"/>
              <w:rPr>
                <w:rFonts w:eastAsiaTheme="minorEastAsia"/>
              </w:rPr>
            </w:pPr>
            <w:r>
              <w:t>2,06538</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A4F08DD" w14:textId="77777777" w:rsidR="005D07A6" w:rsidRDefault="00F42774">
            <w:pPr>
              <w:pStyle w:val="TA1"/>
              <w:jc w:val="right"/>
              <w:rPr>
                <w:rFonts w:eastAsiaTheme="minorEastAsia"/>
              </w:rPr>
            </w:pPr>
            <w:r>
              <w:t>413,08</w:t>
            </w:r>
          </w:p>
        </w:tc>
      </w:tr>
      <w:tr w:rsidR="005D07A6" w14:paraId="5DB3BFA8" w14:textId="77777777">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508CEA0"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DEBB8A6" w14:textId="77777777" w:rsidR="005D07A6" w:rsidRDefault="00F42774">
            <w:pPr>
              <w:pStyle w:val="TA1"/>
              <w:jc w:val="right"/>
              <w:rPr>
                <w:rFonts w:eastAsiaTheme="minorEastAsia"/>
              </w:rPr>
            </w:pPr>
            <w:r>
              <w:t>26 000</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717A122" w14:textId="77777777" w:rsidR="005D07A6" w:rsidRDefault="00F42774">
            <w:pPr>
              <w:pStyle w:val="TA1"/>
              <w:jc w:val="right"/>
              <w:rPr>
                <w:rFonts w:eastAsiaTheme="minorEastAsia"/>
              </w:rPr>
            </w:pPr>
            <w:r>
              <w:t>2,06538</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08D4D53" w14:textId="77777777" w:rsidR="005D07A6" w:rsidRDefault="00F42774">
            <w:pPr>
              <w:pStyle w:val="TA1"/>
              <w:jc w:val="right"/>
              <w:rPr>
                <w:rFonts w:eastAsiaTheme="minorEastAsia"/>
              </w:rPr>
            </w:pPr>
            <w:r>
              <w:t>53 700</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7DC36EE"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63410C5" w14:textId="77777777" w:rsidR="005D07A6" w:rsidRDefault="00F42774">
            <w:pPr>
              <w:pStyle w:val="TA1"/>
              <w:jc w:val="right"/>
              <w:rPr>
                <w:rFonts w:eastAsiaTheme="minorEastAsia"/>
              </w:rPr>
            </w:pPr>
            <w:r>
              <w:t>26 000</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67413E8"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E2C89EB" w14:textId="77777777" w:rsidR="005D07A6" w:rsidRDefault="00F42774">
            <w:pPr>
              <w:pStyle w:val="TA1"/>
              <w:jc w:val="right"/>
              <w:rPr>
                <w:rFonts w:eastAsiaTheme="minorEastAsia"/>
              </w:rPr>
            </w:pPr>
            <w:r>
              <w:t>53 700</w:t>
            </w:r>
          </w:p>
        </w:tc>
      </w:tr>
    </w:tbl>
    <w:p w14:paraId="53CC6E37" w14:textId="77777777" w:rsidR="005D07A6" w:rsidRDefault="00F42774">
      <w:pPr>
        <w:pStyle w:val="TNiv1"/>
        <w:rPr>
          <w:rFonts w:eastAsiaTheme="minorEastAsia"/>
        </w:rPr>
      </w:pPr>
      <w:r>
        <w:t>Hypothèse 2 : le stock final est égal à 18 500 kg</w:t>
      </w:r>
    </w:p>
    <w:p w14:paraId="64AD1A2E" w14:textId="77777777" w:rsidR="005D07A6" w:rsidRDefault="00F42774">
      <w:pPr>
        <w:pStyle w:val="CT"/>
      </w:pPr>
      <w:r>
        <w:t>Le stock théorique étant de 18 000, il y a un boni d’inventaire de 500 kg. Les consommations ont été surévaluées.</w:t>
      </w:r>
    </w:p>
    <w:tbl>
      <w:tblPr>
        <w:tblW w:w="7677" w:type="dxa"/>
        <w:tblInd w:w="1701" w:type="dxa"/>
        <w:tblLook w:val="04A0" w:firstRow="1" w:lastRow="0" w:firstColumn="1" w:lastColumn="0" w:noHBand="0" w:noVBand="1"/>
      </w:tblPr>
      <w:tblGrid>
        <w:gridCol w:w="931"/>
        <w:gridCol w:w="930"/>
        <w:gridCol w:w="930"/>
        <w:gridCol w:w="1048"/>
        <w:gridCol w:w="930"/>
        <w:gridCol w:w="930"/>
        <w:gridCol w:w="930"/>
        <w:gridCol w:w="1048"/>
      </w:tblGrid>
      <w:tr w:rsidR="005D07A6" w14:paraId="5CA04228" w14:textId="77777777">
        <w:tc>
          <w:tcPr>
            <w:tcW w:w="720" w:type="dxa"/>
            <w:gridSpan w:val="4"/>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FD24D9F" w14:textId="77777777" w:rsidR="005D07A6" w:rsidRDefault="00F42774">
            <w:pPr>
              <w:pStyle w:val="TA1"/>
              <w:jc w:val="center"/>
              <w:rPr>
                <w:rFonts w:eastAsiaTheme="minorEastAsia"/>
              </w:rPr>
            </w:pPr>
            <w:r>
              <w:rPr>
                <w:b/>
                <w:bCs/>
              </w:rPr>
              <w:lastRenderedPageBreak/>
              <w:t>Débit</w:t>
            </w:r>
          </w:p>
        </w:tc>
        <w:tc>
          <w:tcPr>
            <w:tcW w:w="720" w:type="dxa"/>
            <w:gridSpan w:val="4"/>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1F8B0B8" w14:textId="77777777" w:rsidR="005D07A6" w:rsidRDefault="00F42774">
            <w:pPr>
              <w:pStyle w:val="TA1"/>
              <w:jc w:val="center"/>
              <w:rPr>
                <w:rFonts w:eastAsiaTheme="minorEastAsia"/>
              </w:rPr>
            </w:pPr>
            <w:r>
              <w:rPr>
                <w:b/>
                <w:bCs/>
              </w:rPr>
              <w:t>Crédit</w:t>
            </w:r>
          </w:p>
        </w:tc>
      </w:tr>
      <w:tr w:rsidR="005D07A6" w14:paraId="0934E57B" w14:textId="77777777">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B16E508" w14:textId="77777777" w:rsidR="005D07A6" w:rsidRDefault="005D07A6"/>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85D17FC" w14:textId="77777777" w:rsidR="005D07A6" w:rsidRDefault="00F42774">
            <w:pPr>
              <w:pStyle w:val="TA1"/>
              <w:jc w:val="center"/>
              <w:rPr>
                <w:rFonts w:eastAsiaTheme="minorEastAsia"/>
              </w:rPr>
            </w:pPr>
            <w:r>
              <w:rPr>
                <w:b/>
                <w:bCs/>
              </w:rPr>
              <w:t>Q</w:t>
            </w:r>
          </w:p>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66DDB3C" w14:textId="77777777" w:rsidR="005D07A6" w:rsidRDefault="00F42774">
            <w:pPr>
              <w:pStyle w:val="TA1"/>
              <w:jc w:val="center"/>
              <w:rPr>
                <w:rFonts w:eastAsiaTheme="minorEastAsia"/>
              </w:rPr>
            </w:pPr>
            <w:r>
              <w:rPr>
                <w:b/>
                <w:bCs/>
              </w:rPr>
              <w:t>CU</w:t>
            </w:r>
          </w:p>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F8091F1" w14:textId="77777777" w:rsidR="005D07A6" w:rsidRDefault="00F42774">
            <w:pPr>
              <w:pStyle w:val="TA1"/>
              <w:jc w:val="center"/>
              <w:rPr>
                <w:rFonts w:eastAsiaTheme="minorEastAsia"/>
              </w:rPr>
            </w:pPr>
            <w:r>
              <w:rPr>
                <w:b/>
                <w:bCs/>
              </w:rPr>
              <w:t>Montant</w:t>
            </w:r>
          </w:p>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26BC236" w14:textId="77777777" w:rsidR="005D07A6" w:rsidRDefault="005D07A6"/>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B066E9A" w14:textId="77777777" w:rsidR="005D07A6" w:rsidRDefault="00F42774">
            <w:pPr>
              <w:pStyle w:val="TA1"/>
              <w:jc w:val="center"/>
              <w:rPr>
                <w:rFonts w:eastAsiaTheme="minorEastAsia"/>
              </w:rPr>
            </w:pPr>
            <w:r>
              <w:rPr>
                <w:b/>
                <w:bCs/>
              </w:rPr>
              <w:t>Q</w:t>
            </w:r>
          </w:p>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0CDF3BE" w14:textId="77777777" w:rsidR="005D07A6" w:rsidRDefault="00F42774">
            <w:pPr>
              <w:pStyle w:val="TA1"/>
              <w:jc w:val="center"/>
              <w:rPr>
                <w:rFonts w:eastAsiaTheme="minorEastAsia"/>
              </w:rPr>
            </w:pPr>
            <w:r>
              <w:rPr>
                <w:b/>
                <w:bCs/>
              </w:rPr>
              <w:t>CU</w:t>
            </w:r>
          </w:p>
        </w:tc>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80CAC26" w14:textId="77777777" w:rsidR="005D07A6" w:rsidRDefault="00F42774">
            <w:pPr>
              <w:pStyle w:val="TA1"/>
              <w:jc w:val="center"/>
              <w:rPr>
                <w:rFonts w:eastAsiaTheme="minorEastAsia"/>
              </w:rPr>
            </w:pPr>
            <w:r>
              <w:rPr>
                <w:b/>
                <w:bCs/>
              </w:rPr>
              <w:t>Montant</w:t>
            </w:r>
          </w:p>
        </w:tc>
      </w:tr>
      <w:tr w:rsidR="005D07A6" w14:paraId="0BBED9C1" w14:textId="77777777">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D545196" w14:textId="77777777" w:rsidR="005D07A6" w:rsidRDefault="00F42774">
            <w:pPr>
              <w:pStyle w:val="TA1"/>
              <w:rPr>
                <w:rFonts w:eastAsiaTheme="minorEastAsia"/>
              </w:rPr>
            </w:pPr>
            <w:r>
              <w:t>01/03</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6CAC048" w14:textId="77777777" w:rsidR="005D07A6" w:rsidRDefault="00F42774">
            <w:pPr>
              <w:pStyle w:val="TA1"/>
              <w:jc w:val="right"/>
              <w:rPr>
                <w:rFonts w:eastAsiaTheme="minorEastAsia"/>
              </w:rPr>
            </w:pPr>
            <w:r>
              <w:t>10 000</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B3F6D5D" w14:textId="77777777" w:rsidR="005D07A6" w:rsidRDefault="00F42774">
            <w:pPr>
              <w:pStyle w:val="TA1"/>
              <w:jc w:val="right"/>
              <w:rPr>
                <w:rFonts w:eastAsiaTheme="minorEastAsia"/>
              </w:rPr>
            </w:pPr>
            <w:r>
              <w:t>2,00</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B534F24" w14:textId="77777777" w:rsidR="005D07A6" w:rsidRDefault="00F42774">
            <w:pPr>
              <w:pStyle w:val="TA1"/>
              <w:jc w:val="right"/>
              <w:rPr>
                <w:rFonts w:eastAsiaTheme="minorEastAsia"/>
              </w:rPr>
            </w:pPr>
            <w:r>
              <w:t>20 000</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610076B" w14:textId="77777777" w:rsidR="005D07A6" w:rsidRDefault="00F42774">
            <w:pPr>
              <w:pStyle w:val="TA1"/>
              <w:rPr>
                <w:rFonts w:eastAsiaTheme="minorEastAsia"/>
              </w:rPr>
            </w:pPr>
            <w:r>
              <w:t>Sorties</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FF99113" w14:textId="77777777" w:rsidR="005D07A6" w:rsidRDefault="00F42774">
            <w:pPr>
              <w:pStyle w:val="TA1"/>
              <w:jc w:val="right"/>
              <w:rPr>
                <w:rFonts w:eastAsiaTheme="minorEastAsia"/>
              </w:rPr>
            </w:pPr>
            <w:r>
              <w:t>8 000</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43F73D3" w14:textId="77777777" w:rsidR="005D07A6" w:rsidRDefault="00F42774">
            <w:pPr>
              <w:pStyle w:val="TA1"/>
              <w:jc w:val="right"/>
              <w:rPr>
                <w:rFonts w:eastAsiaTheme="minorEastAsia"/>
              </w:rPr>
            </w:pPr>
            <w:r>
              <w:t>2,06538</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14B2B0A" w14:textId="77777777" w:rsidR="005D07A6" w:rsidRDefault="00F42774">
            <w:pPr>
              <w:pStyle w:val="TA1"/>
              <w:jc w:val="right"/>
              <w:rPr>
                <w:rFonts w:eastAsiaTheme="minorEastAsia"/>
              </w:rPr>
            </w:pPr>
            <w:r>
              <w:t>16 523,08</w:t>
            </w:r>
          </w:p>
        </w:tc>
      </w:tr>
      <w:tr w:rsidR="005D07A6" w14:paraId="5F73DC35" w14:textId="77777777">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33B480A7" w14:textId="77777777" w:rsidR="005D07A6" w:rsidRDefault="00F42774">
            <w:pPr>
              <w:pStyle w:val="TA1"/>
              <w:rPr>
                <w:rFonts w:eastAsiaTheme="minorEastAsia"/>
              </w:rPr>
            </w:pPr>
            <w:r>
              <w:t>15/03</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2EB861B5" w14:textId="77777777" w:rsidR="005D07A6" w:rsidRDefault="00F42774">
            <w:pPr>
              <w:pStyle w:val="TA1"/>
              <w:jc w:val="right"/>
              <w:rPr>
                <w:rFonts w:eastAsiaTheme="minorEastAsia"/>
              </w:rPr>
            </w:pPr>
            <w:r>
              <w:t>6 000</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72892AD4" w14:textId="77777777" w:rsidR="005D07A6" w:rsidRDefault="00F42774">
            <w:pPr>
              <w:pStyle w:val="TA1"/>
              <w:jc w:val="right"/>
              <w:rPr>
                <w:rFonts w:eastAsiaTheme="minorEastAsia"/>
              </w:rPr>
            </w:pPr>
            <w:r>
              <w:t>2,20</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133CEB33" w14:textId="77777777" w:rsidR="005D07A6" w:rsidRDefault="00F42774">
            <w:pPr>
              <w:pStyle w:val="TA1"/>
              <w:jc w:val="right"/>
              <w:rPr>
                <w:rFonts w:eastAsiaTheme="minorEastAsia"/>
              </w:rPr>
            </w:pPr>
            <w:r>
              <w:t>13 200</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2317B176" w14:textId="77777777" w:rsidR="005D07A6" w:rsidRDefault="00F42774">
            <w:pPr>
              <w:pStyle w:val="TA1"/>
              <w:rPr>
                <w:rFonts w:eastAsiaTheme="minorEastAsia"/>
              </w:rPr>
            </w:pPr>
            <w:r>
              <w:t>Stock final</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5EFFBC9B" w14:textId="77777777" w:rsidR="005D07A6" w:rsidRDefault="00F42774">
            <w:pPr>
              <w:pStyle w:val="TA1"/>
              <w:jc w:val="right"/>
              <w:rPr>
                <w:rFonts w:eastAsiaTheme="minorEastAsia"/>
              </w:rPr>
            </w:pPr>
            <w:r>
              <w:rPr>
                <w:b/>
                <w:bCs/>
              </w:rPr>
              <w:t>18 500</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13F35DC1" w14:textId="77777777" w:rsidR="005D07A6" w:rsidRDefault="00F42774">
            <w:pPr>
              <w:pStyle w:val="TA1"/>
              <w:jc w:val="right"/>
              <w:rPr>
                <w:rFonts w:eastAsiaTheme="minorEastAsia"/>
              </w:rPr>
            </w:pPr>
            <w:r>
              <w:t>2,06538</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7A60679D" w14:textId="77777777" w:rsidR="005D07A6" w:rsidRDefault="00F42774">
            <w:pPr>
              <w:pStyle w:val="TA1"/>
              <w:jc w:val="right"/>
              <w:rPr>
                <w:rFonts w:eastAsiaTheme="minorEastAsia"/>
              </w:rPr>
            </w:pPr>
            <w:r>
              <w:t>38 209,62</w:t>
            </w:r>
          </w:p>
        </w:tc>
      </w:tr>
      <w:tr w:rsidR="005D07A6" w14:paraId="4420953A" w14:textId="77777777">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AD3C5ED" w14:textId="77777777" w:rsidR="005D07A6" w:rsidRDefault="00F42774">
            <w:pPr>
              <w:pStyle w:val="TA1"/>
              <w:rPr>
                <w:rFonts w:eastAsiaTheme="minorEastAsia"/>
              </w:rPr>
            </w:pPr>
            <w:r>
              <w:t>28/03</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95D0BC9" w14:textId="77777777" w:rsidR="005D07A6" w:rsidRDefault="00F42774">
            <w:pPr>
              <w:pStyle w:val="TA1"/>
              <w:jc w:val="right"/>
              <w:rPr>
                <w:rFonts w:eastAsiaTheme="minorEastAsia"/>
              </w:rPr>
            </w:pPr>
            <w:r>
              <w:t>10 000</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199ED11" w14:textId="77777777" w:rsidR="005D07A6" w:rsidRDefault="00F42774">
            <w:pPr>
              <w:pStyle w:val="TA1"/>
              <w:jc w:val="right"/>
              <w:rPr>
                <w:rFonts w:eastAsiaTheme="minorEastAsia"/>
              </w:rPr>
            </w:pPr>
            <w:r>
              <w:t>2,05</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9289738" w14:textId="77777777" w:rsidR="005D07A6" w:rsidRDefault="00F42774">
            <w:pPr>
              <w:pStyle w:val="TA1"/>
              <w:jc w:val="right"/>
              <w:rPr>
                <w:rFonts w:eastAsiaTheme="minorEastAsia"/>
              </w:rPr>
            </w:pPr>
            <w:r>
              <w:t>20 500</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53E0480" w14:textId="77777777" w:rsidR="005D07A6" w:rsidRDefault="005D07A6"/>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73F9571" w14:textId="77777777" w:rsidR="005D07A6" w:rsidRDefault="005D07A6"/>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D54DBF3" w14:textId="77777777" w:rsidR="005D07A6" w:rsidRDefault="005D07A6"/>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B86F98E" w14:textId="77777777" w:rsidR="005D07A6" w:rsidRDefault="005D07A6"/>
        </w:tc>
      </w:tr>
      <w:tr w:rsidR="005D07A6" w14:paraId="1B0AB85F" w14:textId="77777777">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109A757" w14:textId="77777777" w:rsidR="005D07A6" w:rsidRDefault="005D07A6"/>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A658334" w14:textId="77777777" w:rsidR="005D07A6" w:rsidRDefault="00F42774">
            <w:pPr>
              <w:pStyle w:val="TA1"/>
              <w:jc w:val="right"/>
              <w:rPr>
                <w:rFonts w:eastAsiaTheme="minorEastAsia"/>
              </w:rPr>
            </w:pPr>
            <w:r>
              <w:t>26 000</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367507D" w14:textId="77777777" w:rsidR="005D07A6" w:rsidRDefault="00F42774">
            <w:pPr>
              <w:pStyle w:val="TA1"/>
              <w:jc w:val="right"/>
              <w:rPr>
                <w:rFonts w:eastAsiaTheme="minorEastAsia"/>
              </w:rPr>
            </w:pPr>
            <w:r>
              <w:t>2,06538</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D8782C9" w14:textId="77777777" w:rsidR="005D07A6" w:rsidRDefault="00F42774">
            <w:pPr>
              <w:pStyle w:val="TA1"/>
              <w:jc w:val="right"/>
              <w:rPr>
                <w:rFonts w:eastAsiaTheme="minorEastAsia"/>
              </w:rPr>
            </w:pPr>
            <w:r>
              <w:t>53 700,00</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2B11569" w14:textId="77777777" w:rsidR="005D07A6" w:rsidRDefault="005D07A6"/>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E8F466C" w14:textId="77777777" w:rsidR="005D07A6" w:rsidRDefault="005D07A6"/>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98D5893" w14:textId="77777777" w:rsidR="005D07A6" w:rsidRDefault="005D07A6"/>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E8BFA36" w14:textId="77777777" w:rsidR="005D07A6" w:rsidRDefault="005D07A6"/>
        </w:tc>
      </w:tr>
      <w:tr w:rsidR="005D07A6" w14:paraId="1E7C19ED" w14:textId="77777777">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54FC452" w14:textId="77777777" w:rsidR="005D07A6" w:rsidRDefault="00F42774">
            <w:pPr>
              <w:pStyle w:val="TA1"/>
              <w:rPr>
                <w:rFonts w:eastAsiaTheme="minorEastAsia"/>
              </w:rPr>
            </w:pPr>
            <w:r>
              <w:rPr>
                <w:b/>
                <w:bCs/>
              </w:rPr>
              <w:t>Boni</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02B2CEB" w14:textId="77777777" w:rsidR="005D07A6" w:rsidRDefault="00F42774">
            <w:pPr>
              <w:pStyle w:val="TA1"/>
              <w:jc w:val="right"/>
              <w:rPr>
                <w:rFonts w:eastAsiaTheme="minorEastAsia"/>
              </w:rPr>
            </w:pPr>
            <w:r>
              <w:rPr>
                <w:b/>
                <w:bCs/>
              </w:rPr>
              <w:t>500</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36716E0" w14:textId="77777777" w:rsidR="005D07A6" w:rsidRDefault="00F42774">
            <w:pPr>
              <w:pStyle w:val="TA1"/>
              <w:jc w:val="right"/>
              <w:rPr>
                <w:rFonts w:eastAsiaTheme="minorEastAsia"/>
              </w:rPr>
            </w:pPr>
            <w:r>
              <w:t>2,06538</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4E5719B" w14:textId="77777777" w:rsidR="005D07A6" w:rsidRDefault="00F42774">
            <w:pPr>
              <w:pStyle w:val="TA1"/>
              <w:jc w:val="right"/>
              <w:rPr>
                <w:rFonts w:eastAsiaTheme="minorEastAsia"/>
              </w:rPr>
            </w:pPr>
            <w:r>
              <w:t>1 032,69</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144263F" w14:textId="77777777" w:rsidR="005D07A6" w:rsidRDefault="005D07A6"/>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E7BF7AF" w14:textId="77777777" w:rsidR="005D07A6" w:rsidRDefault="005D07A6"/>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4D9C246" w14:textId="77777777" w:rsidR="005D07A6" w:rsidRDefault="005D07A6"/>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0FEEAA3" w14:textId="77777777" w:rsidR="005D07A6" w:rsidRDefault="005D07A6"/>
        </w:tc>
      </w:tr>
      <w:tr w:rsidR="005D07A6" w14:paraId="4D3AE97A" w14:textId="77777777">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9FB611B"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BC911A3" w14:textId="77777777" w:rsidR="005D07A6" w:rsidRDefault="00F42774">
            <w:pPr>
              <w:pStyle w:val="TA1"/>
              <w:jc w:val="right"/>
              <w:rPr>
                <w:rFonts w:eastAsiaTheme="minorEastAsia"/>
              </w:rPr>
            </w:pPr>
            <w:r>
              <w:t>26 500</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BB68955"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4BF6A08" w14:textId="77777777" w:rsidR="005D07A6" w:rsidRDefault="00F42774">
            <w:pPr>
              <w:pStyle w:val="TA1"/>
              <w:jc w:val="right"/>
              <w:rPr>
                <w:rFonts w:eastAsiaTheme="minorEastAsia"/>
              </w:rPr>
            </w:pPr>
            <w:r>
              <w:t>54 732,69</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E537AD1"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39B6975" w14:textId="77777777" w:rsidR="005D07A6" w:rsidRDefault="00F42774">
            <w:pPr>
              <w:pStyle w:val="TA1"/>
              <w:jc w:val="right"/>
              <w:rPr>
                <w:rFonts w:eastAsiaTheme="minorEastAsia"/>
              </w:rPr>
            </w:pPr>
            <w:r>
              <w:t>26 500</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C299CED"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375E765" w14:textId="77777777" w:rsidR="005D07A6" w:rsidRDefault="00F42774">
            <w:pPr>
              <w:pStyle w:val="TA1"/>
              <w:jc w:val="right"/>
              <w:rPr>
                <w:rFonts w:eastAsiaTheme="minorEastAsia"/>
              </w:rPr>
            </w:pPr>
            <w:r>
              <w:t>54 732,69</w:t>
            </w:r>
          </w:p>
        </w:tc>
      </w:tr>
    </w:tbl>
    <w:p w14:paraId="681BDAB7" w14:textId="77777777" w:rsidR="005D07A6" w:rsidRDefault="00F42774">
      <w:pPr>
        <w:pStyle w:val="finfiletr"/>
        <w:rPr>
          <w:rFonts w:eastAsiaTheme="minorEastAsia"/>
        </w:rPr>
      </w:pPr>
      <w:r>
        <w:t>Fin Application</w:t>
      </w:r>
    </w:p>
    <w:p w14:paraId="0FA27FD1" w14:textId="77777777" w:rsidR="005D07A6" w:rsidRDefault="00F42774">
      <w:pPr>
        <w:pStyle w:val="T4"/>
      </w:pPr>
      <w:r>
        <w:t>IV.</w:t>
      </w:r>
      <w:r>
        <w:tab/>
        <w:t>Les variations de stocks</w:t>
      </w:r>
    </w:p>
    <w:p w14:paraId="680E2687" w14:textId="77777777" w:rsidR="005D07A6" w:rsidRDefault="00F42774">
      <w:pPr>
        <w:pStyle w:val="CTEspDessous"/>
      </w:pPr>
      <w:r>
        <w:t xml:space="preserve">La comptabilité financière distingue </w:t>
      </w:r>
      <w:r>
        <w:rPr>
          <w:b/>
          <w:bCs/>
        </w:rPr>
        <w:t>deux catégories de stocks</w:t>
      </w:r>
      <w:r>
        <w:rPr>
          <w:highlight w:val="green"/>
        </w:rPr>
        <w:fldChar w:fldCharType="begin"/>
      </w:r>
      <w:r>
        <w:rPr>
          <w:highlight w:val="green"/>
        </w:rPr>
        <w:instrText xml:space="preserve"> XE "</w:instrText>
      </w:r>
      <w:r>
        <w:rPr>
          <w:noProof/>
          <w:highlight w:val="green"/>
        </w:rPr>
        <w:instrText>Stocks</w:instrText>
      </w:r>
      <w:r>
        <w:rPr>
          <w:highlight w:val="green"/>
        </w:rPr>
        <w:instrText xml:space="preserve">" </w:instrText>
      </w:r>
      <w:r>
        <w:rPr>
          <w:highlight w:val="green"/>
        </w:rPr>
        <w:fldChar w:fldCharType="end"/>
      </w:r>
      <w:r>
        <w:t> : les éléments achetés (matières premières, marchandises, matières consommables, emballages) et les éléments produits (produits finis, produits en cours, produits intermédiaires, produits résiduels).</w:t>
      </w:r>
    </w:p>
    <w:p w14:paraId="01E8EC54" w14:textId="77777777" w:rsidR="005D07A6" w:rsidRDefault="00F42774">
      <w:pPr>
        <w:pStyle w:val="CTEspDessous"/>
      </w:pPr>
      <w:r>
        <w:t xml:space="preserve">Quand un compte de résultat de la comptabilité financière doit être présenté, il convient de calculer les </w:t>
      </w:r>
      <w:r>
        <w:rPr>
          <w:b/>
          <w:bCs/>
        </w:rPr>
        <w:t>variations de stocks</w:t>
      </w:r>
      <w:r>
        <w:rPr>
          <w:highlight w:val="green"/>
        </w:rPr>
        <w:fldChar w:fldCharType="begin"/>
      </w:r>
      <w:r>
        <w:rPr>
          <w:highlight w:val="green"/>
        </w:rPr>
        <w:instrText xml:space="preserve"> XE "</w:instrText>
      </w:r>
      <w:r>
        <w:rPr>
          <w:noProof/>
          <w:highlight w:val="green"/>
        </w:rPr>
        <w:instrText>Variation de stocks</w:instrText>
      </w:r>
      <w:r>
        <w:rPr>
          <w:highlight w:val="green"/>
        </w:rPr>
        <w:instrText xml:space="preserve">" </w:instrText>
      </w:r>
      <w:r>
        <w:rPr>
          <w:highlight w:val="green"/>
        </w:rPr>
        <w:fldChar w:fldCharType="end"/>
      </w:r>
      <w:r>
        <w:t>. Il est rappelé qu’un compte de résultat présente, au débit, les comptes de charges et les variations de stocks des éléments acquis, et au crédit, les produits (au sens comptable du terme) et les variations de stocks des éléments qui ont subi une transformation totale ou partielle.</w:t>
      </w:r>
    </w:p>
    <w:p w14:paraId="5FBEF97A" w14:textId="77777777" w:rsidR="005D07A6" w:rsidRDefault="00F42774">
      <w:pPr>
        <w:pStyle w:val="T5"/>
      </w:pPr>
      <w:r>
        <w:t>A.</w:t>
      </w:r>
      <w:r>
        <w:tab/>
        <w:t>variation de stocks des éléments achetés = stock initial – stock final</w:t>
      </w:r>
    </w:p>
    <w:p w14:paraId="3C75A88C" w14:textId="77777777" w:rsidR="005D07A6" w:rsidRDefault="00F42774">
      <w:pPr>
        <w:pStyle w:val="CT"/>
      </w:pPr>
      <w:r>
        <w:t xml:space="preserve">Les variations de stocks d’approvisionnements permettent d’obtenir, en comptabilité financière, </w:t>
      </w:r>
      <w:r>
        <w:rPr>
          <w:b/>
          <w:bCs/>
        </w:rPr>
        <w:t>le montant des consommations de la période</w:t>
      </w:r>
      <w:r>
        <w:t>. En comptabilité de gestion, ce montant est calculé et correspond aux sorties inscrites au crédit des comptes de stocks.</w:t>
      </w:r>
    </w:p>
    <w:p w14:paraId="08CFCA92" w14:textId="77777777" w:rsidR="005D07A6" w:rsidRDefault="00F42774">
      <w:pPr>
        <w:pStyle w:val="CTEspDessous"/>
      </w:pPr>
      <w:r>
        <w:t>La variation de stocks se déduit de la relation déjà présentée :</w:t>
      </w:r>
    </w:p>
    <w:p w14:paraId="269AEFFF" w14:textId="77777777" w:rsidR="005D07A6" w:rsidRDefault="00F42774">
      <w:pPr>
        <w:pStyle w:val="CTEspDessous"/>
      </w:pPr>
      <w:r>
        <w:t>Stock initial + Entrées = Sorties + Stock final</w:t>
      </w:r>
    </w:p>
    <w:p w14:paraId="20F5E2E1" w14:textId="77777777" w:rsidR="005D07A6" w:rsidRDefault="00F42774">
      <w:pPr>
        <w:pStyle w:val="CT"/>
      </w:pPr>
      <w:r>
        <w:t>Le montant des sorties, c’est-à-dire le montant des consommations est obtenu en posant :</w:t>
      </w:r>
    </w:p>
    <w:p w14:paraId="140D9208" w14:textId="77777777" w:rsidR="005D07A6" w:rsidRDefault="00F42774">
      <w:pPr>
        <w:pStyle w:val="CT"/>
      </w:pPr>
      <w:r>
        <w:t>Stock initial – Stock final + Entrées = Sorties</w:t>
      </w:r>
    </w:p>
    <w:p w14:paraId="67A7EA89" w14:textId="77777777" w:rsidR="005D07A6" w:rsidRDefault="00F42774">
      <w:pPr>
        <w:pStyle w:val="CTEspDessous"/>
      </w:pPr>
      <w:r>
        <w:t>Sorties = Entrées + (Stock initial – Stock final)</w:t>
      </w:r>
    </w:p>
    <w:p w14:paraId="2FDD7B5D" w14:textId="77777777" w:rsidR="005D07A6" w:rsidRDefault="00F42774">
      <w:pPr>
        <w:pStyle w:val="CTEspDessous"/>
      </w:pPr>
      <w:r>
        <w:t>Sorties = Entrées + Variation de stocks</w:t>
      </w:r>
    </w:p>
    <w:p w14:paraId="5ED26059" w14:textId="77777777" w:rsidR="005D07A6" w:rsidRDefault="00F42774">
      <w:pPr>
        <w:pStyle w:val="debutfiletr"/>
      </w:pPr>
      <w:r>
        <w:t>Application _n-7</w:t>
      </w:r>
    </w:p>
    <w:p w14:paraId="47C70DB3" w14:textId="77777777" w:rsidR="005D07A6" w:rsidRDefault="00F42774">
      <w:pPr>
        <w:pStyle w:val="CT"/>
      </w:pPr>
      <w:r>
        <w:t>Les achats de matières premières de la période sont égaux à 100 000 €.</w:t>
      </w:r>
    </w:p>
    <w:p w14:paraId="3A655DED" w14:textId="77777777" w:rsidR="005D07A6" w:rsidRDefault="00F42774">
      <w:pPr>
        <w:pStyle w:val="CT"/>
      </w:pPr>
      <w:r>
        <w:t>Le stock initial est égal à 20 000 € et les consommations de la période sont valorisées pour un montant égal à 90 000 €.</w:t>
      </w:r>
    </w:p>
    <w:p w14:paraId="5DD11507" w14:textId="77777777" w:rsidR="005D07A6" w:rsidRDefault="00F42774">
      <w:pPr>
        <w:pStyle w:val="CT"/>
      </w:pPr>
      <w:r>
        <w:t>Il n’y a pas de différences d’inventaire.</w:t>
      </w:r>
    </w:p>
    <w:p w14:paraId="392095C5" w14:textId="77777777" w:rsidR="005D07A6" w:rsidRDefault="00F42774">
      <w:pPr>
        <w:pStyle w:val="CT"/>
      </w:pPr>
      <w:r>
        <w:t>Le compte de stocks de la comptabilité de gestion est donc le suivant :</w:t>
      </w:r>
    </w:p>
    <w:tbl>
      <w:tblPr>
        <w:tblW w:w="5483" w:type="dxa"/>
        <w:tblInd w:w="1701" w:type="dxa"/>
        <w:tblLook w:val="04A0" w:firstRow="1" w:lastRow="0" w:firstColumn="1" w:lastColumn="0" w:noHBand="0" w:noVBand="1"/>
      </w:tblPr>
      <w:tblGrid>
        <w:gridCol w:w="1820"/>
        <w:gridCol w:w="921"/>
        <w:gridCol w:w="1821"/>
        <w:gridCol w:w="921"/>
      </w:tblGrid>
      <w:tr w:rsidR="005D07A6" w14:paraId="04969773" w14:textId="77777777">
        <w:tc>
          <w:tcPr>
            <w:tcW w:w="1365"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21E7372" w14:textId="77777777" w:rsidR="005D07A6" w:rsidRDefault="00F42774">
            <w:pPr>
              <w:pStyle w:val="TA1"/>
              <w:jc w:val="center"/>
              <w:rPr>
                <w:rFonts w:eastAsiaTheme="minorEastAsia"/>
              </w:rPr>
            </w:pPr>
            <w:r>
              <w:rPr>
                <w:b/>
                <w:bCs/>
              </w:rPr>
              <w:t>Débit</w:t>
            </w:r>
          </w:p>
        </w:tc>
        <w:tc>
          <w:tcPr>
            <w:tcW w:w="1365"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53F9DD3" w14:textId="77777777" w:rsidR="005D07A6" w:rsidRDefault="00F42774">
            <w:pPr>
              <w:pStyle w:val="TA1"/>
              <w:jc w:val="center"/>
              <w:rPr>
                <w:rFonts w:eastAsiaTheme="minorEastAsia"/>
              </w:rPr>
            </w:pPr>
            <w:r>
              <w:rPr>
                <w:b/>
                <w:bCs/>
              </w:rPr>
              <w:t>Crédit</w:t>
            </w:r>
          </w:p>
        </w:tc>
      </w:tr>
      <w:tr w:rsidR="005D07A6" w14:paraId="0278F23F" w14:textId="77777777">
        <w:tc>
          <w:tcPr>
            <w:tcW w:w="13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03CCA8E" w14:textId="77777777" w:rsidR="005D07A6" w:rsidRDefault="005D07A6"/>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73370C4" w14:textId="77777777" w:rsidR="005D07A6" w:rsidRDefault="00F42774">
            <w:pPr>
              <w:pStyle w:val="TA1"/>
              <w:jc w:val="center"/>
              <w:rPr>
                <w:rFonts w:eastAsiaTheme="minorEastAsia"/>
              </w:rPr>
            </w:pPr>
            <w:r>
              <w:t>Montant</w:t>
            </w:r>
          </w:p>
        </w:tc>
        <w:tc>
          <w:tcPr>
            <w:tcW w:w="13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B79FE78" w14:textId="77777777" w:rsidR="005D07A6" w:rsidRDefault="005D07A6"/>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22437AE" w14:textId="77777777" w:rsidR="005D07A6" w:rsidRDefault="00F42774">
            <w:pPr>
              <w:pStyle w:val="TA1"/>
              <w:jc w:val="center"/>
              <w:rPr>
                <w:rFonts w:eastAsiaTheme="minorEastAsia"/>
              </w:rPr>
            </w:pPr>
            <w:r>
              <w:t>Montant</w:t>
            </w:r>
          </w:p>
        </w:tc>
      </w:tr>
      <w:tr w:rsidR="005D07A6" w14:paraId="2C4EF3D4" w14:textId="77777777">
        <w:tc>
          <w:tcPr>
            <w:tcW w:w="1365" w:type="dxa"/>
            <w:tcBorders>
              <w:top w:val="nil"/>
              <w:left w:val="single" w:sz="4" w:space="0" w:color="auto"/>
              <w:bottom w:val="nil"/>
              <w:right w:val="single" w:sz="4" w:space="0" w:color="auto"/>
            </w:tcBorders>
            <w:tcMar>
              <w:top w:w="0" w:type="dxa"/>
              <w:left w:w="2" w:type="dxa"/>
              <w:bottom w:w="0" w:type="dxa"/>
              <w:right w:w="2" w:type="dxa"/>
            </w:tcMar>
            <w:hideMark/>
          </w:tcPr>
          <w:p w14:paraId="74F1FACE" w14:textId="77777777" w:rsidR="005D07A6" w:rsidRDefault="00F42774">
            <w:pPr>
              <w:pStyle w:val="TA1"/>
              <w:rPr>
                <w:rFonts w:eastAsiaTheme="minorEastAsia"/>
              </w:rPr>
            </w:pPr>
            <w:r>
              <w:t>Stock initial</w:t>
            </w:r>
          </w:p>
        </w:tc>
        <w:tc>
          <w:tcPr>
            <w:tcW w:w="69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22F9938" w14:textId="77777777" w:rsidR="005D07A6" w:rsidRDefault="00F42774">
            <w:pPr>
              <w:pStyle w:val="TA1"/>
              <w:jc w:val="right"/>
              <w:rPr>
                <w:rFonts w:eastAsiaTheme="minorEastAsia"/>
              </w:rPr>
            </w:pPr>
            <w:r>
              <w:t>20 000</w:t>
            </w:r>
          </w:p>
        </w:tc>
        <w:tc>
          <w:tcPr>
            <w:tcW w:w="1365" w:type="dxa"/>
            <w:tcBorders>
              <w:top w:val="nil"/>
              <w:left w:val="single" w:sz="4" w:space="0" w:color="auto"/>
              <w:bottom w:val="nil"/>
              <w:right w:val="single" w:sz="4" w:space="0" w:color="auto"/>
            </w:tcBorders>
            <w:tcMar>
              <w:top w:w="0" w:type="dxa"/>
              <w:left w:w="2" w:type="dxa"/>
              <w:bottom w:w="0" w:type="dxa"/>
              <w:right w:w="2" w:type="dxa"/>
            </w:tcMar>
            <w:hideMark/>
          </w:tcPr>
          <w:p w14:paraId="77159E6E" w14:textId="77777777" w:rsidR="005D07A6" w:rsidRDefault="00F42774">
            <w:pPr>
              <w:pStyle w:val="TA1"/>
              <w:rPr>
                <w:rFonts w:eastAsiaTheme="minorEastAsia"/>
              </w:rPr>
            </w:pPr>
            <w:r>
              <w:t>Sorties</w:t>
            </w:r>
          </w:p>
        </w:tc>
        <w:tc>
          <w:tcPr>
            <w:tcW w:w="69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36BDECC" w14:textId="77777777" w:rsidR="005D07A6" w:rsidRDefault="00F42774">
            <w:pPr>
              <w:pStyle w:val="TA1"/>
              <w:jc w:val="right"/>
              <w:rPr>
                <w:rFonts w:eastAsiaTheme="minorEastAsia"/>
              </w:rPr>
            </w:pPr>
            <w:r>
              <w:t>90 000</w:t>
            </w:r>
          </w:p>
        </w:tc>
      </w:tr>
      <w:tr w:rsidR="005D07A6" w14:paraId="179C406B" w14:textId="77777777">
        <w:tc>
          <w:tcPr>
            <w:tcW w:w="13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BECDCF0" w14:textId="77777777" w:rsidR="005D07A6" w:rsidRDefault="00F42774">
            <w:pPr>
              <w:pStyle w:val="TA1"/>
              <w:rPr>
                <w:rFonts w:eastAsiaTheme="minorEastAsia"/>
              </w:rPr>
            </w:pPr>
            <w:r>
              <w:t>Entrées</w:t>
            </w:r>
          </w:p>
        </w:tc>
        <w:tc>
          <w:tcPr>
            <w:tcW w:w="69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8E4C39E" w14:textId="77777777" w:rsidR="005D07A6" w:rsidRDefault="00F42774">
            <w:pPr>
              <w:pStyle w:val="TA1"/>
              <w:jc w:val="right"/>
              <w:rPr>
                <w:rFonts w:eastAsiaTheme="minorEastAsia"/>
              </w:rPr>
            </w:pPr>
            <w:r>
              <w:t>100 000</w:t>
            </w:r>
          </w:p>
        </w:tc>
        <w:tc>
          <w:tcPr>
            <w:tcW w:w="13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B317BE8" w14:textId="77777777" w:rsidR="005D07A6" w:rsidRDefault="00F42774">
            <w:pPr>
              <w:pStyle w:val="TA1"/>
              <w:rPr>
                <w:rFonts w:eastAsiaTheme="minorEastAsia"/>
              </w:rPr>
            </w:pPr>
            <w:r>
              <w:t>Stock final</w:t>
            </w:r>
          </w:p>
        </w:tc>
        <w:tc>
          <w:tcPr>
            <w:tcW w:w="69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46B68B2" w14:textId="77777777" w:rsidR="005D07A6" w:rsidRDefault="00F42774">
            <w:pPr>
              <w:pStyle w:val="TA1"/>
              <w:jc w:val="right"/>
              <w:rPr>
                <w:rFonts w:eastAsiaTheme="minorEastAsia"/>
              </w:rPr>
            </w:pPr>
            <w:r>
              <w:t>30 000</w:t>
            </w:r>
          </w:p>
        </w:tc>
      </w:tr>
      <w:tr w:rsidR="005D07A6" w14:paraId="744C3C04" w14:textId="77777777">
        <w:tc>
          <w:tcPr>
            <w:tcW w:w="13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06014D9" w14:textId="77777777" w:rsidR="005D07A6" w:rsidRDefault="005D07A6"/>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10CA9B6" w14:textId="77777777" w:rsidR="005D07A6" w:rsidRDefault="00F42774">
            <w:pPr>
              <w:pStyle w:val="TA1"/>
              <w:jc w:val="right"/>
              <w:rPr>
                <w:rFonts w:eastAsiaTheme="minorEastAsia"/>
              </w:rPr>
            </w:pPr>
            <w:r>
              <w:t>120 000</w:t>
            </w:r>
          </w:p>
        </w:tc>
        <w:tc>
          <w:tcPr>
            <w:tcW w:w="13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DD7A600" w14:textId="77777777" w:rsidR="005D07A6" w:rsidRDefault="005D07A6"/>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50823A5" w14:textId="77777777" w:rsidR="005D07A6" w:rsidRDefault="00F42774">
            <w:pPr>
              <w:pStyle w:val="TA1"/>
              <w:jc w:val="right"/>
              <w:rPr>
                <w:rFonts w:eastAsiaTheme="minorEastAsia"/>
              </w:rPr>
            </w:pPr>
            <w:r>
              <w:t>120 000</w:t>
            </w:r>
          </w:p>
        </w:tc>
      </w:tr>
    </w:tbl>
    <w:p w14:paraId="2BA765CF" w14:textId="77777777" w:rsidR="005D07A6" w:rsidRDefault="00F42774">
      <w:pPr>
        <w:pStyle w:val="CT"/>
        <w:rPr>
          <w:rFonts w:eastAsiaTheme="minorEastAsia"/>
        </w:rPr>
      </w:pPr>
      <w:r>
        <w:t>Variation de stocks = 20 000 – 30 000 = – 10 000.</w:t>
      </w:r>
    </w:p>
    <w:p w14:paraId="4FF96F85" w14:textId="77777777" w:rsidR="005D07A6" w:rsidRDefault="00F42774">
      <w:pPr>
        <w:pStyle w:val="CT"/>
      </w:pPr>
      <w:r>
        <w:t>Cette variation permet d’obtenir, au débit du compte de résultat de la comptabilité financière, le montant de la consommation de la période :</w:t>
      </w:r>
    </w:p>
    <w:p w14:paraId="2F38196F" w14:textId="77777777" w:rsidR="005D07A6" w:rsidRDefault="00F42774">
      <w:pPr>
        <w:pStyle w:val="CT"/>
      </w:pPr>
      <w:r>
        <w:t>Achats + Variation de stocks = 100 000 – 10 000 = 90 000.</w:t>
      </w:r>
    </w:p>
    <w:p w14:paraId="1634822E" w14:textId="77777777" w:rsidR="005D07A6" w:rsidRDefault="00F42774">
      <w:pPr>
        <w:pStyle w:val="CT"/>
      </w:pPr>
      <w:r>
        <w:t>Extrait du compte de résultat de la comptabilité financière :</w:t>
      </w:r>
    </w:p>
    <w:tbl>
      <w:tblPr>
        <w:tblW w:w="5483" w:type="dxa"/>
        <w:tblInd w:w="1701" w:type="dxa"/>
        <w:tblLook w:val="04A0" w:firstRow="1" w:lastRow="0" w:firstColumn="1" w:lastColumn="0" w:noHBand="0" w:noVBand="1"/>
      </w:tblPr>
      <w:tblGrid>
        <w:gridCol w:w="1820"/>
        <w:gridCol w:w="921"/>
        <w:gridCol w:w="1821"/>
        <w:gridCol w:w="921"/>
      </w:tblGrid>
      <w:tr w:rsidR="005D07A6" w14:paraId="609C38F1" w14:textId="77777777">
        <w:tc>
          <w:tcPr>
            <w:tcW w:w="1365"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772E3CB" w14:textId="77777777" w:rsidR="005D07A6" w:rsidRDefault="00F42774">
            <w:pPr>
              <w:pStyle w:val="TA1"/>
              <w:jc w:val="center"/>
              <w:rPr>
                <w:rFonts w:eastAsiaTheme="minorEastAsia"/>
              </w:rPr>
            </w:pPr>
            <w:r>
              <w:rPr>
                <w:b/>
                <w:bCs/>
              </w:rPr>
              <w:t>Charges</w:t>
            </w:r>
          </w:p>
        </w:tc>
        <w:tc>
          <w:tcPr>
            <w:tcW w:w="1365"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D99CEB9" w14:textId="77777777" w:rsidR="005D07A6" w:rsidRDefault="00F42774">
            <w:pPr>
              <w:pStyle w:val="TA1"/>
              <w:jc w:val="center"/>
              <w:rPr>
                <w:rFonts w:eastAsiaTheme="minorEastAsia"/>
              </w:rPr>
            </w:pPr>
            <w:r>
              <w:rPr>
                <w:b/>
                <w:bCs/>
              </w:rPr>
              <w:t>Produits</w:t>
            </w:r>
          </w:p>
        </w:tc>
      </w:tr>
      <w:tr w:rsidR="005D07A6" w14:paraId="0D023B2F" w14:textId="77777777">
        <w:tc>
          <w:tcPr>
            <w:tcW w:w="13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441560E" w14:textId="77777777" w:rsidR="005D07A6" w:rsidRDefault="00F42774">
            <w:pPr>
              <w:pStyle w:val="TA1"/>
              <w:rPr>
                <w:rFonts w:eastAsiaTheme="minorEastAsia"/>
              </w:rPr>
            </w:pPr>
            <w:r>
              <w:t>Achats</w:t>
            </w:r>
          </w:p>
        </w:tc>
        <w:tc>
          <w:tcPr>
            <w:tcW w:w="69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98F557E" w14:textId="77777777" w:rsidR="005D07A6" w:rsidRDefault="00F42774">
            <w:pPr>
              <w:pStyle w:val="TA1"/>
              <w:jc w:val="right"/>
              <w:rPr>
                <w:rFonts w:eastAsiaTheme="minorEastAsia"/>
              </w:rPr>
            </w:pPr>
            <w:r>
              <w:t>100 000</w:t>
            </w:r>
          </w:p>
        </w:tc>
        <w:tc>
          <w:tcPr>
            <w:tcW w:w="13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ACF86A8" w14:textId="77777777" w:rsidR="005D07A6" w:rsidRDefault="005D07A6"/>
        </w:tc>
        <w:tc>
          <w:tcPr>
            <w:tcW w:w="69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66DCA9A" w14:textId="77777777" w:rsidR="005D07A6" w:rsidRDefault="005D07A6"/>
        </w:tc>
      </w:tr>
      <w:tr w:rsidR="005D07A6" w14:paraId="18DB8ED1" w14:textId="77777777">
        <w:tc>
          <w:tcPr>
            <w:tcW w:w="13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9A52742" w14:textId="77777777" w:rsidR="005D07A6" w:rsidRDefault="00F42774">
            <w:pPr>
              <w:pStyle w:val="TA1"/>
              <w:rPr>
                <w:rFonts w:eastAsiaTheme="minorEastAsia"/>
              </w:rPr>
            </w:pPr>
            <w:r>
              <w:lastRenderedPageBreak/>
              <w:t>Variation de stocks</w:t>
            </w:r>
          </w:p>
        </w:tc>
        <w:tc>
          <w:tcPr>
            <w:tcW w:w="69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FDFD6C2" w14:textId="77777777" w:rsidR="005D07A6" w:rsidRDefault="00F42774">
            <w:pPr>
              <w:pStyle w:val="TA1"/>
              <w:jc w:val="right"/>
              <w:rPr>
                <w:rFonts w:eastAsiaTheme="minorEastAsia"/>
              </w:rPr>
            </w:pPr>
            <w:r>
              <w:t>– 10 000</w:t>
            </w:r>
          </w:p>
        </w:tc>
        <w:tc>
          <w:tcPr>
            <w:tcW w:w="13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93EAAC5" w14:textId="77777777" w:rsidR="005D07A6" w:rsidRDefault="005D07A6"/>
        </w:tc>
        <w:tc>
          <w:tcPr>
            <w:tcW w:w="69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429F652" w14:textId="77777777" w:rsidR="005D07A6" w:rsidRDefault="005D07A6"/>
        </w:tc>
      </w:tr>
    </w:tbl>
    <w:p w14:paraId="3A02B866" w14:textId="77777777" w:rsidR="005D07A6" w:rsidRDefault="00F42774">
      <w:pPr>
        <w:pStyle w:val="finfiletr"/>
        <w:rPr>
          <w:rFonts w:eastAsiaTheme="minorEastAsia"/>
        </w:rPr>
      </w:pPr>
      <w:r>
        <w:t>Fin Application</w:t>
      </w:r>
    </w:p>
    <w:p w14:paraId="1568FE0B" w14:textId="77777777" w:rsidR="005D07A6" w:rsidRDefault="00F42774">
      <w:pPr>
        <w:pStyle w:val="T5"/>
      </w:pPr>
      <w:r>
        <w:t>B.</w:t>
      </w:r>
      <w:r>
        <w:tab/>
        <w:t>variation de stocks des éléments produits = stock final – stock initial</w:t>
      </w:r>
    </w:p>
    <w:p w14:paraId="77E6AF6E" w14:textId="77777777" w:rsidR="005D07A6" w:rsidRDefault="00F42774">
      <w:pPr>
        <w:pStyle w:val="CT"/>
      </w:pPr>
      <w:r>
        <w:t xml:space="preserve">Les variations de stocks d’éléments produits sont </w:t>
      </w:r>
      <w:r>
        <w:rPr>
          <w:b/>
          <w:bCs/>
        </w:rPr>
        <w:t>présentées au crédit</w:t>
      </w:r>
      <w:r>
        <w:t xml:space="preserve"> du compte de résultat de la comptabilité financière </w:t>
      </w:r>
      <w:r>
        <w:rPr>
          <w:b/>
          <w:bCs/>
        </w:rPr>
        <w:t>dans la rubrique « production stockée »</w:t>
      </w:r>
      <w:r>
        <w:t>.</w:t>
      </w:r>
    </w:p>
    <w:p w14:paraId="67E4FB15" w14:textId="77777777" w:rsidR="005D07A6" w:rsidRDefault="00F42774">
      <w:pPr>
        <w:pStyle w:val="CT"/>
      </w:pPr>
      <w:r>
        <w:t xml:space="preserve">L’ensemble des charges ayant concouru à la production (entrées) a permis d’obtenir des produits qui ont été vendus (sorties) et des produits qui n’ont pas été vendus, la </w:t>
      </w:r>
      <w:r>
        <w:rPr>
          <w:b/>
          <w:bCs/>
        </w:rPr>
        <w:t>production stockée, qui doit être évaluée au coût de production</w:t>
      </w:r>
      <w:r>
        <w:t>.</w:t>
      </w:r>
    </w:p>
    <w:p w14:paraId="568132AA" w14:textId="77777777" w:rsidR="005D07A6" w:rsidRDefault="00F42774">
      <w:pPr>
        <w:pStyle w:val="CTEspDessous"/>
      </w:pPr>
      <w:r>
        <w:t>La production stockée se déduit de la relation déjà présentée :</w:t>
      </w:r>
    </w:p>
    <w:p w14:paraId="35817C06" w14:textId="77777777" w:rsidR="005D07A6" w:rsidRDefault="00F42774">
      <w:pPr>
        <w:pStyle w:val="CTEspDessous"/>
      </w:pPr>
      <w:r>
        <w:t>Stock initial + Entrées = Sorties + Stock final</w:t>
      </w:r>
    </w:p>
    <w:p w14:paraId="437FCAF8" w14:textId="77777777" w:rsidR="005D07A6" w:rsidRDefault="00F42774">
      <w:pPr>
        <w:pStyle w:val="CT"/>
      </w:pPr>
      <w:r>
        <w:t>La production stockée est obtenue en posant :</w:t>
      </w:r>
    </w:p>
    <w:p w14:paraId="189A6F4D" w14:textId="77777777" w:rsidR="005D07A6" w:rsidRDefault="00F42774">
      <w:pPr>
        <w:pStyle w:val="CT"/>
      </w:pPr>
      <w:r>
        <w:t>Entrées = Sorties + Stock final – Stock initial</w:t>
      </w:r>
    </w:p>
    <w:p w14:paraId="77ACA354" w14:textId="77777777" w:rsidR="005D07A6" w:rsidRDefault="00F42774">
      <w:pPr>
        <w:pStyle w:val="CTEspDessous"/>
      </w:pPr>
      <w:r>
        <w:t>Entrées = Sorties + (Stock final – Stock initial)</w:t>
      </w:r>
    </w:p>
    <w:p w14:paraId="3502BCDC" w14:textId="77777777" w:rsidR="005D07A6" w:rsidRDefault="00F42774">
      <w:pPr>
        <w:pStyle w:val="CTEspDessous"/>
      </w:pPr>
      <w:r>
        <w:t>Entrées = Sorties + Variation de stocks</w:t>
      </w:r>
    </w:p>
    <w:p w14:paraId="45141AC4" w14:textId="77777777" w:rsidR="005D07A6" w:rsidRDefault="00F42774">
      <w:pPr>
        <w:pStyle w:val="CTEspDessous"/>
      </w:pPr>
      <w:r>
        <w:t>Il est à noter que, dans le compte de résultat de la comptabilité financière, l’ensemble de la production de l’exercice n’est pas évalué de manière homogène : la production vendue est évaluée au prix de vente alors que la production stockée est évaluée au coût de production.</w:t>
      </w:r>
    </w:p>
    <w:p w14:paraId="2F5398B0" w14:textId="77777777" w:rsidR="005D07A6" w:rsidRDefault="00F42774">
      <w:pPr>
        <w:pStyle w:val="debutfiletr"/>
      </w:pPr>
      <w:r>
        <w:t>Application _n-8</w:t>
      </w:r>
    </w:p>
    <w:p w14:paraId="3515565B" w14:textId="77777777" w:rsidR="005D07A6" w:rsidRDefault="00F42774">
      <w:pPr>
        <w:pStyle w:val="CT"/>
      </w:pPr>
      <w:r>
        <w:t>La production de la période est égale à 200 000 €. Le stock initial est égal à 40 000 € et le coût de production des produits vendus est égal à 180 000 €. Le chiffre d’affaires correspondant est égal à 220 000 €.</w:t>
      </w:r>
    </w:p>
    <w:p w14:paraId="0E9EA04D" w14:textId="77777777" w:rsidR="005D07A6" w:rsidRDefault="00F42774">
      <w:pPr>
        <w:pStyle w:val="CT"/>
      </w:pPr>
      <w:r>
        <w:t>Il n’y a pas de différences d’inventaire.</w:t>
      </w:r>
    </w:p>
    <w:p w14:paraId="76786922" w14:textId="77777777" w:rsidR="005D07A6" w:rsidRDefault="00F42774">
      <w:pPr>
        <w:pStyle w:val="CT"/>
      </w:pPr>
      <w:r>
        <w:t>Le compte de stocks de la comptabilité de gestion est donc le suivant :</w:t>
      </w:r>
    </w:p>
    <w:tbl>
      <w:tblPr>
        <w:tblW w:w="5483" w:type="dxa"/>
        <w:tblInd w:w="1701" w:type="dxa"/>
        <w:tblLook w:val="04A0" w:firstRow="1" w:lastRow="0" w:firstColumn="1" w:lastColumn="0" w:noHBand="0" w:noVBand="1"/>
      </w:tblPr>
      <w:tblGrid>
        <w:gridCol w:w="1820"/>
        <w:gridCol w:w="921"/>
        <w:gridCol w:w="1821"/>
        <w:gridCol w:w="921"/>
      </w:tblGrid>
      <w:tr w:rsidR="005D07A6" w14:paraId="1BD88639" w14:textId="77777777">
        <w:tc>
          <w:tcPr>
            <w:tcW w:w="1365"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4664247" w14:textId="77777777" w:rsidR="005D07A6" w:rsidRDefault="00F42774">
            <w:pPr>
              <w:pStyle w:val="TA1"/>
              <w:jc w:val="center"/>
              <w:rPr>
                <w:rFonts w:eastAsiaTheme="minorEastAsia"/>
              </w:rPr>
            </w:pPr>
            <w:r>
              <w:rPr>
                <w:b/>
                <w:bCs/>
              </w:rPr>
              <w:t>Débit</w:t>
            </w:r>
          </w:p>
        </w:tc>
        <w:tc>
          <w:tcPr>
            <w:tcW w:w="1365"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2095A42" w14:textId="77777777" w:rsidR="005D07A6" w:rsidRDefault="00F42774">
            <w:pPr>
              <w:pStyle w:val="TA1"/>
              <w:jc w:val="center"/>
              <w:rPr>
                <w:rFonts w:eastAsiaTheme="minorEastAsia"/>
              </w:rPr>
            </w:pPr>
            <w:r>
              <w:rPr>
                <w:b/>
                <w:bCs/>
              </w:rPr>
              <w:t>Crédit</w:t>
            </w:r>
          </w:p>
        </w:tc>
      </w:tr>
      <w:tr w:rsidR="005D07A6" w14:paraId="37571A85" w14:textId="77777777">
        <w:tc>
          <w:tcPr>
            <w:tcW w:w="13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CA1EFEE" w14:textId="77777777" w:rsidR="005D07A6" w:rsidRDefault="005D07A6"/>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B7E5248" w14:textId="77777777" w:rsidR="005D07A6" w:rsidRDefault="00F42774">
            <w:pPr>
              <w:pStyle w:val="TA1"/>
              <w:jc w:val="center"/>
              <w:rPr>
                <w:rFonts w:eastAsiaTheme="minorEastAsia"/>
              </w:rPr>
            </w:pPr>
            <w:r>
              <w:t>Montant</w:t>
            </w:r>
          </w:p>
        </w:tc>
        <w:tc>
          <w:tcPr>
            <w:tcW w:w="13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8275F4F" w14:textId="77777777" w:rsidR="005D07A6" w:rsidRDefault="005D07A6"/>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9803AA8" w14:textId="77777777" w:rsidR="005D07A6" w:rsidRDefault="00F42774">
            <w:pPr>
              <w:pStyle w:val="TA1"/>
              <w:jc w:val="center"/>
              <w:rPr>
                <w:rFonts w:eastAsiaTheme="minorEastAsia"/>
              </w:rPr>
            </w:pPr>
            <w:r>
              <w:t>Montant</w:t>
            </w:r>
          </w:p>
        </w:tc>
      </w:tr>
      <w:tr w:rsidR="005D07A6" w14:paraId="4EA33F23" w14:textId="77777777">
        <w:tc>
          <w:tcPr>
            <w:tcW w:w="1365" w:type="dxa"/>
            <w:tcBorders>
              <w:top w:val="nil"/>
              <w:left w:val="single" w:sz="4" w:space="0" w:color="auto"/>
              <w:bottom w:val="nil"/>
              <w:right w:val="single" w:sz="4" w:space="0" w:color="auto"/>
            </w:tcBorders>
            <w:tcMar>
              <w:top w:w="0" w:type="dxa"/>
              <w:left w:w="2" w:type="dxa"/>
              <w:bottom w:w="0" w:type="dxa"/>
              <w:right w:w="2" w:type="dxa"/>
            </w:tcMar>
            <w:hideMark/>
          </w:tcPr>
          <w:p w14:paraId="23A131D7" w14:textId="77777777" w:rsidR="005D07A6" w:rsidRDefault="00F42774">
            <w:pPr>
              <w:pStyle w:val="TA1"/>
              <w:rPr>
                <w:rFonts w:eastAsiaTheme="minorEastAsia"/>
              </w:rPr>
            </w:pPr>
            <w:r>
              <w:t>Stock initial</w:t>
            </w:r>
          </w:p>
        </w:tc>
        <w:tc>
          <w:tcPr>
            <w:tcW w:w="69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A01D08E" w14:textId="77777777" w:rsidR="005D07A6" w:rsidRDefault="00F42774">
            <w:pPr>
              <w:pStyle w:val="TA1"/>
              <w:jc w:val="right"/>
              <w:rPr>
                <w:rFonts w:eastAsiaTheme="minorEastAsia"/>
              </w:rPr>
            </w:pPr>
            <w:r>
              <w:t>40 000</w:t>
            </w:r>
          </w:p>
        </w:tc>
        <w:tc>
          <w:tcPr>
            <w:tcW w:w="1365" w:type="dxa"/>
            <w:tcBorders>
              <w:top w:val="nil"/>
              <w:left w:val="single" w:sz="4" w:space="0" w:color="auto"/>
              <w:bottom w:val="nil"/>
              <w:right w:val="single" w:sz="4" w:space="0" w:color="auto"/>
            </w:tcBorders>
            <w:tcMar>
              <w:top w:w="0" w:type="dxa"/>
              <w:left w:w="2" w:type="dxa"/>
              <w:bottom w:w="0" w:type="dxa"/>
              <w:right w:w="2" w:type="dxa"/>
            </w:tcMar>
            <w:hideMark/>
          </w:tcPr>
          <w:p w14:paraId="32AAD46B" w14:textId="77777777" w:rsidR="005D07A6" w:rsidRDefault="00F42774">
            <w:pPr>
              <w:pStyle w:val="TA1"/>
              <w:rPr>
                <w:rFonts w:eastAsiaTheme="minorEastAsia"/>
              </w:rPr>
            </w:pPr>
            <w:r>
              <w:t>Sorties</w:t>
            </w:r>
            <w:r>
              <w:rPr>
                <w:rStyle w:val="TaAppelNote"/>
              </w:rPr>
              <w:t>(1)</w:t>
            </w:r>
          </w:p>
        </w:tc>
        <w:tc>
          <w:tcPr>
            <w:tcW w:w="69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EA3D806" w14:textId="77777777" w:rsidR="005D07A6" w:rsidRDefault="00F42774">
            <w:pPr>
              <w:pStyle w:val="TA1"/>
              <w:jc w:val="right"/>
              <w:rPr>
                <w:rFonts w:eastAsiaTheme="minorEastAsia"/>
              </w:rPr>
            </w:pPr>
            <w:r>
              <w:t>180 000</w:t>
            </w:r>
          </w:p>
        </w:tc>
      </w:tr>
      <w:tr w:rsidR="005D07A6" w14:paraId="3DF351BF" w14:textId="77777777">
        <w:tc>
          <w:tcPr>
            <w:tcW w:w="13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7B9FD33" w14:textId="77777777" w:rsidR="005D07A6" w:rsidRDefault="00F42774">
            <w:pPr>
              <w:pStyle w:val="TA1"/>
              <w:rPr>
                <w:rFonts w:eastAsiaTheme="minorEastAsia"/>
              </w:rPr>
            </w:pPr>
            <w:r>
              <w:t>Entrées</w:t>
            </w:r>
          </w:p>
        </w:tc>
        <w:tc>
          <w:tcPr>
            <w:tcW w:w="69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5338569" w14:textId="77777777" w:rsidR="005D07A6" w:rsidRDefault="00F42774">
            <w:pPr>
              <w:pStyle w:val="TA1"/>
              <w:jc w:val="right"/>
              <w:rPr>
                <w:rFonts w:eastAsiaTheme="minorEastAsia"/>
              </w:rPr>
            </w:pPr>
            <w:r>
              <w:t>200 000</w:t>
            </w:r>
          </w:p>
        </w:tc>
        <w:tc>
          <w:tcPr>
            <w:tcW w:w="13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491FEF7" w14:textId="77777777" w:rsidR="005D07A6" w:rsidRDefault="00F42774">
            <w:pPr>
              <w:pStyle w:val="TA1"/>
              <w:rPr>
                <w:rFonts w:eastAsiaTheme="minorEastAsia"/>
              </w:rPr>
            </w:pPr>
            <w:r>
              <w:t>Stock final</w:t>
            </w:r>
          </w:p>
        </w:tc>
        <w:tc>
          <w:tcPr>
            <w:tcW w:w="69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FEEF9D5" w14:textId="77777777" w:rsidR="005D07A6" w:rsidRDefault="00F42774">
            <w:pPr>
              <w:pStyle w:val="TA1"/>
              <w:jc w:val="right"/>
              <w:rPr>
                <w:rFonts w:eastAsiaTheme="minorEastAsia"/>
              </w:rPr>
            </w:pPr>
            <w:r>
              <w:t>60 000</w:t>
            </w:r>
          </w:p>
        </w:tc>
      </w:tr>
      <w:tr w:rsidR="005D07A6" w14:paraId="7468E2D6" w14:textId="77777777">
        <w:tc>
          <w:tcPr>
            <w:tcW w:w="13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A93DF7C" w14:textId="77777777" w:rsidR="005D07A6" w:rsidRDefault="005D07A6"/>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5F15C61" w14:textId="77777777" w:rsidR="005D07A6" w:rsidRDefault="00F42774">
            <w:pPr>
              <w:pStyle w:val="TA1"/>
              <w:jc w:val="right"/>
              <w:rPr>
                <w:rFonts w:eastAsiaTheme="minorEastAsia"/>
              </w:rPr>
            </w:pPr>
            <w:r>
              <w:t>240 000</w:t>
            </w:r>
          </w:p>
        </w:tc>
        <w:tc>
          <w:tcPr>
            <w:tcW w:w="13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771E841" w14:textId="77777777" w:rsidR="005D07A6" w:rsidRDefault="005D07A6"/>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7E7D87C" w14:textId="77777777" w:rsidR="005D07A6" w:rsidRDefault="00F42774">
            <w:pPr>
              <w:pStyle w:val="TA1"/>
              <w:jc w:val="right"/>
              <w:rPr>
                <w:rFonts w:eastAsiaTheme="minorEastAsia"/>
              </w:rPr>
            </w:pPr>
            <w:r>
              <w:t>240 000</w:t>
            </w:r>
          </w:p>
        </w:tc>
      </w:tr>
    </w:tbl>
    <w:p w14:paraId="76D32B1E" w14:textId="77777777" w:rsidR="005D07A6" w:rsidRDefault="00F42774">
      <w:pPr>
        <w:pStyle w:val="TA3"/>
        <w:rPr>
          <w:rFonts w:eastAsiaTheme="minorEastAsia"/>
        </w:rPr>
      </w:pPr>
      <w:r>
        <w:t>1. Il convient de bien remarquer qu’il s’agit du coût de production des produits vendus. En effet, une erreur est fréquemment commise : prendre le chiffre d’affaires.</w:t>
      </w:r>
    </w:p>
    <w:p w14:paraId="1E2A1603" w14:textId="77777777" w:rsidR="005D07A6" w:rsidRDefault="00F42774">
      <w:pPr>
        <w:pStyle w:val="CT"/>
      </w:pPr>
      <w:r>
        <w:t>La variation de stocks, évaluée au coût de production, est à porter au crédit du compte de résultat = 60 000 – 40 000 = + 20 000.</w:t>
      </w:r>
    </w:p>
    <w:p w14:paraId="4F9B2B29" w14:textId="77777777" w:rsidR="005D07A6" w:rsidRDefault="00F42774">
      <w:pPr>
        <w:pStyle w:val="CT"/>
      </w:pPr>
      <w:r>
        <w:t>Extrait du compte de résultat de la comptabilité financière :</w:t>
      </w:r>
    </w:p>
    <w:tbl>
      <w:tblPr>
        <w:tblW w:w="5483" w:type="dxa"/>
        <w:tblInd w:w="1701" w:type="dxa"/>
        <w:tblLook w:val="04A0" w:firstRow="1" w:lastRow="0" w:firstColumn="1" w:lastColumn="0" w:noHBand="0" w:noVBand="1"/>
      </w:tblPr>
      <w:tblGrid>
        <w:gridCol w:w="1809"/>
        <w:gridCol w:w="915"/>
        <w:gridCol w:w="1810"/>
        <w:gridCol w:w="949"/>
      </w:tblGrid>
      <w:tr w:rsidR="005D07A6" w14:paraId="2A84CC47" w14:textId="77777777">
        <w:tc>
          <w:tcPr>
            <w:tcW w:w="1365"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ED394F8" w14:textId="77777777" w:rsidR="005D07A6" w:rsidRDefault="00F42774">
            <w:pPr>
              <w:pStyle w:val="TA1"/>
              <w:jc w:val="center"/>
              <w:rPr>
                <w:rFonts w:eastAsiaTheme="minorEastAsia"/>
              </w:rPr>
            </w:pPr>
            <w:r>
              <w:rPr>
                <w:b/>
                <w:bCs/>
              </w:rPr>
              <w:t>Charges</w:t>
            </w:r>
          </w:p>
        </w:tc>
        <w:tc>
          <w:tcPr>
            <w:tcW w:w="1365"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606B619" w14:textId="77777777" w:rsidR="005D07A6" w:rsidRDefault="00F42774">
            <w:pPr>
              <w:pStyle w:val="TA1"/>
              <w:jc w:val="center"/>
              <w:rPr>
                <w:rFonts w:eastAsiaTheme="minorEastAsia"/>
              </w:rPr>
            </w:pPr>
            <w:r>
              <w:rPr>
                <w:b/>
                <w:bCs/>
              </w:rPr>
              <w:t>Produits</w:t>
            </w:r>
          </w:p>
        </w:tc>
      </w:tr>
      <w:tr w:rsidR="005D07A6" w14:paraId="0ACF19D4" w14:textId="77777777">
        <w:tc>
          <w:tcPr>
            <w:tcW w:w="13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39D888C" w14:textId="77777777" w:rsidR="005D07A6" w:rsidRDefault="005D07A6"/>
        </w:tc>
        <w:tc>
          <w:tcPr>
            <w:tcW w:w="69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D8C4B03" w14:textId="77777777" w:rsidR="005D07A6" w:rsidRDefault="005D07A6"/>
        </w:tc>
        <w:tc>
          <w:tcPr>
            <w:tcW w:w="13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A2677FF" w14:textId="77777777" w:rsidR="005D07A6" w:rsidRDefault="00F42774">
            <w:pPr>
              <w:pStyle w:val="TA1"/>
              <w:rPr>
                <w:rFonts w:eastAsiaTheme="minorEastAsia"/>
              </w:rPr>
            </w:pPr>
            <w:r>
              <w:t>Chiffres d’affaires</w:t>
            </w:r>
          </w:p>
        </w:tc>
        <w:tc>
          <w:tcPr>
            <w:tcW w:w="69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0D65D89" w14:textId="77777777" w:rsidR="005D07A6" w:rsidRDefault="00F42774">
            <w:pPr>
              <w:pStyle w:val="TA1"/>
              <w:jc w:val="right"/>
              <w:rPr>
                <w:rFonts w:eastAsiaTheme="minorEastAsia"/>
              </w:rPr>
            </w:pPr>
            <w:r>
              <w:t>220 000</w:t>
            </w:r>
          </w:p>
        </w:tc>
      </w:tr>
      <w:tr w:rsidR="005D07A6" w14:paraId="3AFE6C76" w14:textId="77777777">
        <w:tc>
          <w:tcPr>
            <w:tcW w:w="13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61E9150" w14:textId="77777777" w:rsidR="005D07A6" w:rsidRDefault="005D07A6"/>
        </w:tc>
        <w:tc>
          <w:tcPr>
            <w:tcW w:w="69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DB985DA" w14:textId="77777777" w:rsidR="005D07A6" w:rsidRDefault="005D07A6"/>
        </w:tc>
        <w:tc>
          <w:tcPr>
            <w:tcW w:w="13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150C33A" w14:textId="77777777" w:rsidR="005D07A6" w:rsidRDefault="00F42774">
            <w:pPr>
              <w:pStyle w:val="TA1"/>
              <w:rPr>
                <w:rFonts w:eastAsiaTheme="minorEastAsia"/>
              </w:rPr>
            </w:pPr>
            <w:r>
              <w:t>Production stockée</w:t>
            </w:r>
          </w:p>
        </w:tc>
        <w:tc>
          <w:tcPr>
            <w:tcW w:w="69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25E6967" w14:textId="77777777" w:rsidR="005D07A6" w:rsidRDefault="00F42774">
            <w:pPr>
              <w:pStyle w:val="TA1"/>
              <w:jc w:val="right"/>
              <w:rPr>
                <w:rFonts w:eastAsiaTheme="minorEastAsia"/>
              </w:rPr>
            </w:pPr>
            <w:r>
              <w:t>+ 20 000</w:t>
            </w:r>
          </w:p>
        </w:tc>
      </w:tr>
    </w:tbl>
    <w:p w14:paraId="4D93AEC0" w14:textId="77777777" w:rsidR="005D07A6" w:rsidRDefault="00F42774">
      <w:pPr>
        <w:pStyle w:val="finfiletr"/>
        <w:rPr>
          <w:rFonts w:eastAsiaTheme="minorEastAsia"/>
        </w:rPr>
      </w:pPr>
      <w:r>
        <w:t>Fin Application</w:t>
      </w:r>
    </w:p>
    <w:p w14:paraId="35A3EB52" w14:textId="77777777" w:rsidR="005D07A6" w:rsidRDefault="00F42774">
      <w:pPr>
        <w:pStyle w:val="T3"/>
      </w:pPr>
      <w:r>
        <w:t>section 3.</w:t>
      </w:r>
      <w:r>
        <w:tab/>
        <w:t>Les coûts de production</w:t>
      </w:r>
    </w:p>
    <w:p w14:paraId="6C876E05" w14:textId="77777777" w:rsidR="005D07A6" w:rsidRDefault="00F42774">
      <w:pPr>
        <w:pStyle w:val="CT"/>
      </w:pPr>
      <w:r>
        <w:t xml:space="preserve">On calcule un coût de production pour tous les produits qui sont </w:t>
      </w:r>
      <w:r>
        <w:rPr>
          <w:b/>
          <w:bCs/>
        </w:rPr>
        <w:t>fabriqués</w:t>
      </w:r>
      <w:r>
        <w:t xml:space="preserve"> par l’entreprise pendant la période (produits « finis »). Entrent dans le coût de production :</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de production</w:instrText>
      </w:r>
      <w:r>
        <w:rPr>
          <w:highlight w:val="green"/>
        </w:rPr>
        <w:instrText xml:space="preserve">" </w:instrText>
      </w:r>
      <w:r>
        <w:rPr>
          <w:highlight w:val="green"/>
        </w:rPr>
        <w:fldChar w:fldCharType="end"/>
      </w:r>
    </w:p>
    <w:p w14:paraId="2294AFBA" w14:textId="77777777" w:rsidR="005D07A6" w:rsidRDefault="00F42774">
      <w:pPr>
        <w:pStyle w:val="ET"/>
      </w:pPr>
      <w:r>
        <w:t>les éléments directs (MOD) ;</w:t>
      </w:r>
    </w:p>
    <w:p w14:paraId="3D263A6D" w14:textId="77777777" w:rsidR="005D07A6" w:rsidRDefault="00F42774">
      <w:pPr>
        <w:pStyle w:val="ET"/>
      </w:pPr>
      <w:r>
        <w:t>les consommations de matières premières, les sorties de stock se faisant en principe au coût d’achat complet moyen pondéré (on peut déroger à ce principe dans certains cas particuliers : « premier entré-premier sorti » quand les produits sont individualisés, ou coût de remplacement dans une situation très inflationniste par exemple) ;</w:t>
      </w:r>
    </w:p>
    <w:p w14:paraId="7E9C48DA" w14:textId="77777777" w:rsidR="005D07A6" w:rsidRDefault="00F42774">
      <w:pPr>
        <w:pStyle w:val="ET"/>
      </w:pPr>
      <w:r>
        <w:t>et les charges indirectes (imputation des charges indirectes des ateliers).</w:t>
      </w:r>
    </w:p>
    <w:p w14:paraId="4CA3CA8E" w14:textId="77777777" w:rsidR="005D07A6" w:rsidRDefault="00F42774">
      <w:pPr>
        <w:pStyle w:val="CTEspDessous"/>
      </w:pPr>
      <w:r>
        <w:lastRenderedPageBreak/>
        <w:t>La connaissance du coût complet de production permet de valoriser l’entrée en stock des produits finis.</w:t>
      </w:r>
    </w:p>
    <w:p w14:paraId="429E9110" w14:textId="77777777" w:rsidR="005D07A6" w:rsidRDefault="00F42774">
      <w:pPr>
        <w:pStyle w:val="debutfilet"/>
      </w:pPr>
      <w:r>
        <w:t>Attention</w:t>
      </w:r>
    </w:p>
    <w:p w14:paraId="582FE6BB" w14:textId="77777777" w:rsidR="005D07A6" w:rsidRDefault="00F42774">
      <w:pPr>
        <w:pStyle w:val="LibelleRubrique"/>
      </w:pPr>
      <w:r>
        <w:t>Attention</w:t>
      </w:r>
    </w:p>
    <w:p w14:paraId="40B37E8F" w14:textId="77777777" w:rsidR="005D07A6" w:rsidRDefault="00F42774">
      <w:pPr>
        <w:pStyle w:val="CT"/>
      </w:pPr>
      <w:r>
        <w:t>Erreur classique à éviter : il ne faut pas confondre « </w:t>
      </w:r>
      <w:r>
        <w:rPr>
          <w:b/>
          <w:bCs/>
        </w:rPr>
        <w:t>coût de production</w:t>
      </w:r>
      <w:r>
        <w:t> », qui inclut le coût des matières consommées, et « </w:t>
      </w:r>
      <w:r>
        <w:rPr>
          <w:b/>
          <w:bCs/>
        </w:rPr>
        <w:t>frais de fabrication</w:t>
      </w:r>
      <w:r>
        <w:t> » qui ne concernent généralement que les coûts de production autres que les coûts des matières.</w:t>
      </w:r>
    </w:p>
    <w:p w14:paraId="410AF9A2" w14:textId="77777777" w:rsidR="005D07A6" w:rsidRDefault="00F42774">
      <w:pPr>
        <w:pStyle w:val="finfilet"/>
      </w:pPr>
      <w:r>
        <w:t>Fin Attention</w:t>
      </w:r>
    </w:p>
    <w:p w14:paraId="5D1792D8" w14:textId="77777777" w:rsidR="005D07A6" w:rsidRDefault="00F42774">
      <w:pPr>
        <w:pStyle w:val="T3"/>
      </w:pPr>
      <w:r>
        <w:t>section 4.</w:t>
      </w:r>
      <w:r>
        <w:tab/>
        <w:t>Les coûts de distribution</w:t>
      </w:r>
    </w:p>
    <w:p w14:paraId="6C693DE2" w14:textId="77777777" w:rsidR="005D07A6" w:rsidRDefault="00F42774">
      <w:pPr>
        <w:pStyle w:val="CT"/>
      </w:pPr>
      <w:r>
        <w:t>On calcule un coût de distribution pour tous les produits qui sont</w:t>
      </w:r>
      <w:r>
        <w:rPr>
          <w:b/>
          <w:bCs/>
        </w:rPr>
        <w:t xml:space="preserve"> vendus</w:t>
      </w:r>
      <w:r>
        <w:t xml:space="preserve"> pendant la période. Entrent dans le coût de distribution des éléments : </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de distribution</w:instrText>
      </w:r>
      <w:r>
        <w:rPr>
          <w:highlight w:val="green"/>
        </w:rPr>
        <w:instrText xml:space="preserve">" </w:instrText>
      </w:r>
      <w:r>
        <w:rPr>
          <w:highlight w:val="green"/>
        </w:rPr>
        <w:fldChar w:fldCharType="end"/>
      </w:r>
    </w:p>
    <w:p w14:paraId="1C780A01" w14:textId="77777777" w:rsidR="005D07A6" w:rsidRDefault="00F42774">
      <w:pPr>
        <w:pStyle w:val="ET"/>
      </w:pPr>
      <w:r>
        <w:t>directs (ex. : commissions aux représentants) ;</w:t>
      </w:r>
    </w:p>
    <w:p w14:paraId="4424886D" w14:textId="77777777" w:rsidR="005D07A6" w:rsidRDefault="00F42774">
      <w:pPr>
        <w:pStyle w:val="ET"/>
      </w:pPr>
      <w:r>
        <w:t>indirects (imputation des charges indirectes des services commerciaux).</w:t>
      </w:r>
    </w:p>
    <w:p w14:paraId="4892A30D" w14:textId="77777777" w:rsidR="005D07A6" w:rsidRDefault="00F42774">
      <w:pPr>
        <w:pStyle w:val="CTEspDessous"/>
      </w:pPr>
      <w:r>
        <w:t>Le coût de production n’est pas compris dans le coût de distribution (ne pas confondre avec le coût de revient). Coûts de production et coûts de distribution sont calculés « en parallèle », et non pas « en série », comme on dit pour les montages électriques. Il n’est pas nécessaire de connaître les coûts de production pour pouvoir calculer les coûts de distribution.</w:t>
      </w:r>
    </w:p>
    <w:p w14:paraId="3C860150" w14:textId="77777777" w:rsidR="005D07A6" w:rsidRDefault="00F42774">
      <w:pPr>
        <w:pStyle w:val="debutfiletr"/>
      </w:pPr>
      <w:r>
        <w:t>Focus</w:t>
      </w:r>
    </w:p>
    <w:p w14:paraId="7BED40DC" w14:textId="77777777" w:rsidR="005D07A6" w:rsidRDefault="00F42774">
      <w:pPr>
        <w:pStyle w:val="TitreRubrique"/>
      </w:pPr>
      <w:r>
        <w:t>À quoi sert le coût de distribution ?</w:t>
      </w:r>
    </w:p>
    <w:p w14:paraId="57DE4037" w14:textId="77777777" w:rsidR="005D07A6" w:rsidRDefault="00F42774">
      <w:pPr>
        <w:pStyle w:val="CT"/>
      </w:pPr>
      <w:r>
        <w:t>Le coût de distribution est rarement calculé, car il ne sert pas, comme le coût d’approvisionnement et le coût de production, à valoriser les stocks. En pratique, on additionne directement, dans le même tableau, les coûts de production et de distribution pour obtenir le coût de revient.</w:t>
      </w:r>
    </w:p>
    <w:p w14:paraId="04526769" w14:textId="77777777" w:rsidR="005D07A6" w:rsidRDefault="00F42774">
      <w:pPr>
        <w:pStyle w:val="finfiletr"/>
      </w:pPr>
      <w:r>
        <w:t>Fin Focus</w:t>
      </w:r>
    </w:p>
    <w:p w14:paraId="6855CA0F" w14:textId="77777777" w:rsidR="005D07A6" w:rsidRDefault="00F42774">
      <w:pPr>
        <w:pStyle w:val="T3"/>
      </w:pPr>
      <w:r>
        <w:t>section 5.</w:t>
      </w:r>
      <w:r>
        <w:tab/>
        <w:t>Les coûts de revient</w:t>
      </w:r>
    </w:p>
    <w:p w14:paraId="3E359404" w14:textId="77777777" w:rsidR="005D07A6" w:rsidRDefault="00F42774">
      <w:pPr>
        <w:pStyle w:val="CTEspDessous"/>
      </w:pPr>
      <w:r>
        <w:t xml:space="preserve">On calcule un coût de revient pour tous les produits </w:t>
      </w:r>
      <w:r>
        <w:rPr>
          <w:b/>
          <w:bCs/>
        </w:rPr>
        <w:t>vendus</w:t>
      </w:r>
      <w:r>
        <w:t xml:space="preserve"> pendant la période.</w:t>
      </w:r>
    </w:p>
    <w:p w14:paraId="287C2CE1" w14:textId="77777777" w:rsidR="005D07A6" w:rsidRDefault="00F42774">
      <w:pPr>
        <w:pStyle w:val="debutfilet"/>
      </w:pPr>
      <w:r>
        <w:t>Definition</w:t>
      </w:r>
    </w:p>
    <w:p w14:paraId="3ED27BE5" w14:textId="77777777" w:rsidR="005D07A6" w:rsidRDefault="00F42774">
      <w:pPr>
        <w:pStyle w:val="LibelleRubrique"/>
      </w:pPr>
      <w:r>
        <w:t>Définition</w:t>
      </w:r>
    </w:p>
    <w:p w14:paraId="2BE7D6F6" w14:textId="77777777" w:rsidR="005D07A6" w:rsidRDefault="00F42774">
      <w:pPr>
        <w:pStyle w:val="CT"/>
      </w:pPr>
      <w:r>
        <w:t xml:space="preserve">Le </w:t>
      </w:r>
      <w:r>
        <w:rPr>
          <w:b/>
          <w:bCs/>
          <w:i/>
          <w:iCs/>
          <w:color w:val="FF0000"/>
        </w:rPr>
        <w:t>coût de revient</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de revient</w:instrText>
      </w:r>
      <w:r>
        <w:rPr>
          <w:highlight w:val="green"/>
        </w:rPr>
        <w:instrText xml:space="preserve">" </w:instrText>
      </w:r>
      <w:r>
        <w:rPr>
          <w:highlight w:val="green"/>
        </w:rPr>
        <w:fldChar w:fldCharType="end"/>
      </w:r>
      <w:r>
        <w:t xml:space="preserve"> est la somme de toutes les charges (donc directes et indirectes) qui sont nécessaires à la mise à disposition du produit ou du service dans les mains du client. C’est le coût « ultime », le coût le plus complet.</w:t>
      </w:r>
    </w:p>
    <w:p w14:paraId="782E5BE1" w14:textId="77777777" w:rsidR="005D07A6" w:rsidRDefault="00F42774">
      <w:pPr>
        <w:pStyle w:val="finfilet"/>
      </w:pPr>
      <w:r>
        <w:t>Fin Definition</w:t>
      </w:r>
    </w:p>
    <w:p w14:paraId="2587AFA4" w14:textId="77777777" w:rsidR="005D07A6" w:rsidRDefault="00F42774">
      <w:pPr>
        <w:pStyle w:val="CT"/>
      </w:pPr>
      <w:r>
        <w:t>Le coût de revient est la somme :</w:t>
      </w:r>
    </w:p>
    <w:p w14:paraId="6169E571" w14:textId="77777777" w:rsidR="005D07A6" w:rsidRDefault="00F42774">
      <w:pPr>
        <w:pStyle w:val="ET"/>
      </w:pPr>
      <w:r>
        <w:t>du coût de production de produits finis vendus (qui sont sortis du stock en principe au coût de production complet moyen pondéré) ;</w:t>
      </w:r>
    </w:p>
    <w:p w14:paraId="3694091A" w14:textId="77777777" w:rsidR="005D07A6" w:rsidRDefault="00F42774">
      <w:pPr>
        <w:pStyle w:val="ET"/>
      </w:pPr>
      <w:r>
        <w:t>et du coût de distribution de ces produits.</w:t>
      </w:r>
    </w:p>
    <w:p w14:paraId="682DF73F" w14:textId="77777777" w:rsidR="005D07A6" w:rsidRDefault="00F42774">
      <w:pPr>
        <w:pStyle w:val="debutfilet"/>
      </w:pPr>
      <w:r>
        <w:t>Attention</w:t>
      </w:r>
    </w:p>
    <w:p w14:paraId="46730CB2" w14:textId="77777777" w:rsidR="005D07A6" w:rsidRDefault="00F42774">
      <w:pPr>
        <w:pStyle w:val="LibelleRubrique"/>
      </w:pPr>
      <w:r>
        <w:t>Attention</w:t>
      </w:r>
    </w:p>
    <w:p w14:paraId="46BAD637" w14:textId="77777777" w:rsidR="005D07A6" w:rsidRDefault="00F42774">
      <w:pPr>
        <w:pStyle w:val="CT"/>
      </w:pPr>
      <w:r>
        <w:t xml:space="preserve">Erreur classique à éviter : </w:t>
      </w:r>
      <w:r>
        <w:rPr>
          <w:b/>
          <w:bCs/>
        </w:rPr>
        <w:t xml:space="preserve">le coût de revient </w:t>
      </w:r>
      <w:r>
        <w:t>n’inclut que le coût de production</w:t>
      </w:r>
      <w:r>
        <w:rPr>
          <w:b/>
          <w:bCs/>
        </w:rPr>
        <w:t xml:space="preserve"> des produits vendus</w:t>
      </w:r>
      <w:r>
        <w:t>, et non des produits fabriqués : attention à la variation de stocks !</w:t>
      </w:r>
    </w:p>
    <w:p w14:paraId="08B8D5C0" w14:textId="77777777" w:rsidR="005D07A6" w:rsidRDefault="00F42774">
      <w:pPr>
        <w:pStyle w:val="finfilet"/>
      </w:pPr>
      <w:r>
        <w:t>Fin Attention</w:t>
      </w:r>
    </w:p>
    <w:p w14:paraId="35ECCB17" w14:textId="77777777" w:rsidR="005D07A6" w:rsidRDefault="00F42774">
      <w:pPr>
        <w:pStyle w:val="CTEspDessous"/>
      </w:pPr>
      <w:r>
        <w:t>Au niveau de la terminologie, il vaut mieux dire « </w:t>
      </w:r>
      <w:r>
        <w:rPr>
          <w:b/>
          <w:bCs/>
        </w:rPr>
        <w:t>coût » de revient</w:t>
      </w:r>
      <w:r>
        <w:t xml:space="preserve"> que « </w:t>
      </w:r>
      <w:r>
        <w:rPr>
          <w:b/>
          <w:bCs/>
        </w:rPr>
        <w:t>prix » de revient</w:t>
      </w:r>
      <w:r>
        <w:rPr>
          <w:highlight w:val="green"/>
        </w:rPr>
        <w:fldChar w:fldCharType="begin"/>
      </w:r>
      <w:r>
        <w:rPr>
          <w:highlight w:val="green"/>
        </w:rPr>
        <w:instrText xml:space="preserve"> XE "</w:instrText>
      </w:r>
      <w:r>
        <w:rPr>
          <w:noProof/>
          <w:highlight w:val="green"/>
        </w:rPr>
        <w:instrText>Prix de revient</w:instrText>
      </w:r>
      <w:r>
        <w:rPr>
          <w:highlight w:val="green"/>
        </w:rPr>
        <w:instrText xml:space="preserve">" </w:instrText>
      </w:r>
      <w:r>
        <w:rPr>
          <w:highlight w:val="green"/>
        </w:rPr>
        <w:fldChar w:fldCharType="end"/>
      </w:r>
      <w:r>
        <w:t>, expression qui est encore utilisée dans la pratique, mais qui a un caractère désuet depuis qu’elle a disparu du plan comptable en 1982. Les économistes et les théoriciens de la gestion préfèrent, en effet, réserver le terme « prix » à une valeur d’échange et le terme « coût » à un calcul.</w:t>
      </w:r>
    </w:p>
    <w:p w14:paraId="58380EDD" w14:textId="77777777" w:rsidR="005D07A6" w:rsidRDefault="00F42774">
      <w:pPr>
        <w:pStyle w:val="CTEspDessous"/>
      </w:pPr>
      <w:r>
        <w:lastRenderedPageBreak/>
        <w:t>L’expression « prix de revient » est donc une expression qui associe deux idées : c’est le calcul du prix en dessous duquel il ne faut pas accepter une vente puisque la vente se ferait à perte. L’expression confond donc le calcul (le coût de revient) et son utilisation (il permet de savoir quel prix plancher fixer).</w:t>
      </w:r>
    </w:p>
    <w:p w14:paraId="799F287F" w14:textId="77777777" w:rsidR="005D07A6" w:rsidRDefault="00F42774">
      <w:pPr>
        <w:pStyle w:val="T3"/>
      </w:pPr>
      <w:r>
        <w:t>section 6.</w:t>
      </w:r>
      <w:r>
        <w:tab/>
        <w:t>Les résultats analytiques</w:t>
      </w:r>
    </w:p>
    <w:p w14:paraId="69E185C6" w14:textId="77777777" w:rsidR="005D07A6" w:rsidRDefault="00F42774">
      <w:pPr>
        <w:pStyle w:val="CTEspDessous"/>
      </w:pPr>
      <w:r>
        <w:t xml:space="preserve">Pour chaque produit vendu, on peut calculer un </w:t>
      </w:r>
      <w:r>
        <w:rPr>
          <w:b/>
          <w:bCs/>
        </w:rPr>
        <w:t>résultat analytique</w:t>
      </w:r>
      <w:r>
        <w:rPr>
          <w:highlight w:val="green"/>
        </w:rPr>
        <w:fldChar w:fldCharType="begin"/>
      </w:r>
      <w:r>
        <w:rPr>
          <w:highlight w:val="green"/>
        </w:rPr>
        <w:instrText xml:space="preserve"> XE "</w:instrText>
      </w:r>
      <w:r>
        <w:rPr>
          <w:noProof/>
          <w:highlight w:val="green"/>
        </w:rPr>
        <w:instrText>Résultat</w:instrText>
      </w:r>
      <w:r>
        <w:rPr>
          <w:highlight w:val="green"/>
        </w:rPr>
        <w:instrText>:</w:instrText>
      </w:r>
      <w:r>
        <w:rPr>
          <w:noProof/>
          <w:highlight w:val="green"/>
        </w:rPr>
        <w:instrText>– analytique</w:instrText>
      </w:r>
      <w:r>
        <w:rPr>
          <w:highlight w:val="green"/>
        </w:rPr>
        <w:instrText xml:space="preserve">" </w:instrText>
      </w:r>
      <w:r>
        <w:rPr>
          <w:highlight w:val="green"/>
        </w:rPr>
        <w:fldChar w:fldCharType="end"/>
      </w:r>
      <w:r>
        <w:t>, différence entre les ventes et le coût de revient complet.</w:t>
      </w:r>
    </w:p>
    <w:p w14:paraId="0BD5DDAA" w14:textId="77777777" w:rsidR="005D07A6" w:rsidRDefault="00F42774">
      <w:pPr>
        <w:pStyle w:val="CTEspDessous"/>
      </w:pPr>
      <w:r>
        <w:t xml:space="preserve">Notons que cette notion de « résultat » ne comporte aucune ambiguïté ; en revanche, la notion de « marge » est ambiguë : une </w:t>
      </w:r>
      <w:r>
        <w:rPr>
          <w:b/>
          <w:bCs/>
        </w:rPr>
        <w:t>marge</w:t>
      </w:r>
      <w:r>
        <w:rPr>
          <w:highlight w:val="green"/>
        </w:rPr>
        <w:fldChar w:fldCharType="begin"/>
      </w:r>
      <w:r>
        <w:rPr>
          <w:highlight w:val="green"/>
        </w:rPr>
        <w:instrText xml:space="preserve"> XE "</w:instrText>
      </w:r>
      <w:r>
        <w:rPr>
          <w:noProof/>
          <w:highlight w:val="green"/>
        </w:rPr>
        <w:instrText>Marge</w:instrText>
      </w:r>
      <w:r>
        <w:rPr>
          <w:highlight w:val="green"/>
        </w:rPr>
        <w:instrText xml:space="preserve">" </w:instrText>
      </w:r>
      <w:r>
        <w:rPr>
          <w:highlight w:val="green"/>
        </w:rPr>
        <w:fldChar w:fldCharType="end"/>
      </w:r>
      <w:r>
        <w:t xml:space="preserve"> est la différence entre les ventes et un coût partiel, et il y a de très nombreux coûts. Il faut donc préciser de quel type de marge on parle : marge sur coûts variables, marge « brute » pour un commerçant, etc.</w:t>
      </w:r>
    </w:p>
    <w:p w14:paraId="26A58958" w14:textId="77777777" w:rsidR="005D07A6" w:rsidRDefault="00F42774">
      <w:pPr>
        <w:pStyle w:val="CTEspDessous"/>
      </w:pPr>
      <w:r>
        <w:t>De ce point de vue, un résultat est une « marge sur coût complet ».</w:t>
      </w:r>
    </w:p>
    <w:p w14:paraId="3792AC7E" w14:textId="77777777" w:rsidR="005D07A6" w:rsidRDefault="00F42774">
      <w:pPr>
        <w:pStyle w:val="Formule"/>
      </w:pPr>
      <w:r>
        <w:t>Résultat</w:t>
      </w:r>
      <w:r>
        <w:rPr>
          <w:highlight w:val="green"/>
        </w:rPr>
        <w:fldChar w:fldCharType="begin"/>
      </w:r>
      <w:r>
        <w:rPr>
          <w:highlight w:val="green"/>
        </w:rPr>
        <w:instrText xml:space="preserve"> XE "</w:instrText>
      </w:r>
      <w:r>
        <w:rPr>
          <w:noProof/>
          <w:highlight w:val="green"/>
        </w:rPr>
        <w:instrText>Résultat</w:instrText>
      </w:r>
      <w:r>
        <w:rPr>
          <w:highlight w:val="green"/>
        </w:rPr>
        <w:instrText xml:space="preserve">" </w:instrText>
      </w:r>
      <w:r>
        <w:rPr>
          <w:highlight w:val="green"/>
        </w:rPr>
        <w:fldChar w:fldCharType="end"/>
      </w:r>
      <w:r>
        <w:t> = chiffre d’affaires – coût complet de revient</w:t>
      </w:r>
      <w:r>
        <w:br/>
        <w:t>Marge = chiffre d’affaires – coût partiel</w:t>
      </w:r>
    </w:p>
    <w:p w14:paraId="10F0281B" w14:textId="77777777" w:rsidR="005D07A6" w:rsidRDefault="00F42774">
      <w:pPr>
        <w:pStyle w:val="T2"/>
      </w:pPr>
      <w:r>
        <w:t>Chapitre 4.</w:t>
      </w:r>
      <w:r>
        <w:tab/>
        <w:t>Corrélation et prestations réciproques</w:t>
      </w:r>
    </w:p>
    <w:p w14:paraId="683F4E7A" w14:textId="77777777" w:rsidR="005D07A6" w:rsidRDefault="00F42774">
      <w:pPr>
        <w:pStyle w:val="debutfilet"/>
      </w:pPr>
      <w:r>
        <w:t>Competences_attendues</w:t>
      </w:r>
    </w:p>
    <w:p w14:paraId="5FB280C6" w14:textId="77777777" w:rsidR="005D07A6" w:rsidRDefault="00F42774">
      <w:pPr>
        <w:pStyle w:val="ET"/>
      </w:pPr>
      <w:r>
        <w:t>Calculer et interpréter une espérance et un écart-type de ventes, coûts, marge et résultat, pour un ou plusieurs produits.</w:t>
      </w:r>
    </w:p>
    <w:p w14:paraId="5E031FB1" w14:textId="77777777" w:rsidR="005D07A6" w:rsidRDefault="00F42774">
      <w:pPr>
        <w:pStyle w:val="finfilet"/>
      </w:pPr>
      <w:r>
        <w:t>Fin Competences_attendues</w:t>
      </w:r>
    </w:p>
    <w:p w14:paraId="38E3BB7E" w14:textId="77777777" w:rsidR="005D07A6" w:rsidRDefault="00F42774">
      <w:pPr>
        <w:pStyle w:val="CTEspDessous"/>
      </w:pPr>
      <w:r>
        <w:t>Les éléments de statistiques sont présentés dans le cadre du cours de Contrôle de gestion au fur et à mesure de leur utilisation. Dans le cadre du cours 1, le coefficient de corrélation est présenté, car il permet de porter un jugement sur la qualité des unités d’œuvres retenues dans le cadre des calculs de coût complet. Des définitions de base (moyenne, variance, écart-type) sont également précisées.</w:t>
      </w:r>
    </w:p>
    <w:p w14:paraId="139CA3B9" w14:textId="77777777" w:rsidR="005D07A6" w:rsidRDefault="00F42774">
      <w:pPr>
        <w:pStyle w:val="CTEspDessous"/>
      </w:pPr>
      <w:r>
        <w:t>Les lois de probabilité seront abordées dans le cours 2 lorsque seront présentés les outils d’analyse du risque, mais aussi dans le cours 3 (prévisions des ventes). La régression linéaire (les autres types – exponentielle, logarithmique, puissance – ne sont pas abordés dans ce cours) sera développée dans le cours 3 lorsque seront abordées les prévisions des ventes. Les problèmes d’échantillonnage seront présentés dans le cadre de la gestion de la qualité (cours 4).</w:t>
      </w:r>
    </w:p>
    <w:p w14:paraId="7B41A69A" w14:textId="77777777" w:rsidR="005D07A6" w:rsidRDefault="00F42774">
      <w:pPr>
        <w:pStyle w:val="T3"/>
      </w:pPr>
      <w:r>
        <w:t>section 1.</w:t>
      </w:r>
      <w:r>
        <w:tab/>
        <w:t>Éléments essentiels de statistiques</w:t>
      </w:r>
    </w:p>
    <w:p w14:paraId="20A15D34" w14:textId="77777777" w:rsidR="005D07A6" w:rsidRDefault="00F42774">
      <w:pPr>
        <w:pStyle w:val="CTEspDessous"/>
      </w:pPr>
      <w:r>
        <w:t xml:space="preserve">Le terme </w:t>
      </w:r>
      <w:r>
        <w:rPr>
          <w:b/>
          <w:bCs/>
        </w:rPr>
        <w:t>statistique</w:t>
      </w:r>
      <w:r>
        <w:rPr>
          <w:highlight w:val="green"/>
        </w:rPr>
        <w:fldChar w:fldCharType="begin"/>
      </w:r>
      <w:r>
        <w:rPr>
          <w:highlight w:val="green"/>
        </w:rPr>
        <w:instrText xml:space="preserve"> XE "</w:instrText>
      </w:r>
      <w:r>
        <w:rPr>
          <w:noProof/>
          <w:highlight w:val="green"/>
        </w:rPr>
        <w:instrText>Statistiques</w:instrText>
      </w:r>
      <w:r>
        <w:rPr>
          <w:highlight w:val="green"/>
        </w:rPr>
        <w:instrText xml:space="preserve">" </w:instrText>
      </w:r>
      <w:r>
        <w:rPr>
          <w:highlight w:val="green"/>
        </w:rPr>
        <w:fldChar w:fldCharType="end"/>
      </w:r>
      <w:r>
        <w:t xml:space="preserve"> est issu du latin </w:t>
      </w:r>
      <w:r>
        <w:rPr>
          <w:i/>
          <w:iCs/>
        </w:rPr>
        <w:t>status</w:t>
      </w:r>
      <w:r>
        <w:t> : situation, état.</w:t>
      </w:r>
    </w:p>
    <w:p w14:paraId="69816616" w14:textId="77777777" w:rsidR="005D07A6" w:rsidRDefault="00F42774">
      <w:pPr>
        <w:pStyle w:val="debutfilet"/>
      </w:pPr>
      <w:r>
        <w:t>Definition</w:t>
      </w:r>
    </w:p>
    <w:p w14:paraId="24363DCC" w14:textId="77777777" w:rsidR="005D07A6" w:rsidRDefault="00F42774">
      <w:pPr>
        <w:pStyle w:val="LibelleRubrique"/>
      </w:pPr>
      <w:r>
        <w:t>Définition</w:t>
      </w:r>
    </w:p>
    <w:p w14:paraId="4FED92DA" w14:textId="77777777" w:rsidR="005D07A6" w:rsidRDefault="00F42774">
      <w:pPr>
        <w:pStyle w:val="CT"/>
      </w:pPr>
      <w:r>
        <w:rPr>
          <w:b/>
          <w:bCs/>
          <w:i/>
          <w:iCs/>
          <w:color w:val="FF0000"/>
        </w:rPr>
        <w:t>Population</w:t>
      </w:r>
      <w:r>
        <w:rPr>
          <w:b/>
          <w:bCs/>
        </w:rPr>
        <w:t> :</w:t>
      </w:r>
      <w:r>
        <w:rPr>
          <w:highlight w:val="green"/>
        </w:rPr>
        <w:fldChar w:fldCharType="begin"/>
      </w:r>
      <w:r>
        <w:rPr>
          <w:highlight w:val="green"/>
        </w:rPr>
        <w:instrText xml:space="preserve"> XE "</w:instrText>
      </w:r>
      <w:r>
        <w:rPr>
          <w:noProof/>
          <w:highlight w:val="green"/>
        </w:rPr>
        <w:instrText>Population</w:instrText>
      </w:r>
      <w:r>
        <w:rPr>
          <w:highlight w:val="green"/>
        </w:rPr>
        <w:instrText xml:space="preserve">" </w:instrText>
      </w:r>
      <w:r>
        <w:rPr>
          <w:highlight w:val="green"/>
        </w:rPr>
        <w:fldChar w:fldCharType="end"/>
      </w:r>
      <w:r>
        <w:t xml:space="preserve"> ensemble de référence sur lequel vont porter les observations dont chaque élément est appelé unité statistique (ou individu).</w:t>
      </w:r>
    </w:p>
    <w:p w14:paraId="68278391" w14:textId="77777777" w:rsidR="005D07A6" w:rsidRDefault="00F42774">
      <w:pPr>
        <w:pStyle w:val="finfilet"/>
      </w:pPr>
      <w:r>
        <w:t>Fin Definition</w:t>
      </w:r>
    </w:p>
    <w:p w14:paraId="4EEF51BA" w14:textId="77777777" w:rsidR="005D07A6" w:rsidRDefault="00F42774">
      <w:pPr>
        <w:pStyle w:val="debutfilet"/>
      </w:pPr>
      <w:r>
        <w:t>Definition</w:t>
      </w:r>
    </w:p>
    <w:p w14:paraId="4E1F36AB" w14:textId="77777777" w:rsidR="005D07A6" w:rsidRDefault="00F42774">
      <w:pPr>
        <w:pStyle w:val="LibelleRubrique"/>
      </w:pPr>
      <w:r>
        <w:t>Définition</w:t>
      </w:r>
    </w:p>
    <w:p w14:paraId="1E811FC1" w14:textId="77777777" w:rsidR="005D07A6" w:rsidRDefault="00F42774">
      <w:pPr>
        <w:pStyle w:val="CT"/>
      </w:pPr>
      <w:r>
        <w:rPr>
          <w:b/>
          <w:bCs/>
          <w:i/>
          <w:iCs/>
          <w:color w:val="FF0000"/>
        </w:rPr>
        <w:lastRenderedPageBreak/>
        <w:t>Recensement</w:t>
      </w:r>
      <w:r>
        <w:rPr>
          <w:b/>
          <w:bCs/>
        </w:rPr>
        <w:t xml:space="preserve"> : </w:t>
      </w:r>
      <w:r>
        <w:rPr>
          <w:highlight w:val="green"/>
        </w:rPr>
        <w:fldChar w:fldCharType="begin"/>
      </w:r>
      <w:r>
        <w:rPr>
          <w:highlight w:val="green"/>
        </w:rPr>
        <w:instrText xml:space="preserve"> XE "</w:instrText>
      </w:r>
      <w:r>
        <w:rPr>
          <w:noProof/>
          <w:highlight w:val="green"/>
        </w:rPr>
        <w:instrText>Recensement</w:instrText>
      </w:r>
      <w:r>
        <w:rPr>
          <w:highlight w:val="green"/>
        </w:rPr>
        <w:instrText xml:space="preserve">" </w:instrText>
      </w:r>
      <w:r>
        <w:rPr>
          <w:highlight w:val="green"/>
        </w:rPr>
        <w:fldChar w:fldCharType="end"/>
      </w:r>
      <w:r>
        <w:t>étude de toutes les unités statistiques de la population.</w:t>
      </w:r>
    </w:p>
    <w:p w14:paraId="5AABFC96" w14:textId="77777777" w:rsidR="005D07A6" w:rsidRDefault="00F42774">
      <w:pPr>
        <w:pStyle w:val="finfilet"/>
      </w:pPr>
      <w:r>
        <w:t>Fin Definition</w:t>
      </w:r>
    </w:p>
    <w:p w14:paraId="1305FFA8" w14:textId="77777777" w:rsidR="005D07A6" w:rsidRDefault="00F42774">
      <w:pPr>
        <w:pStyle w:val="debutfilet"/>
      </w:pPr>
      <w:r>
        <w:t>Definition</w:t>
      </w:r>
    </w:p>
    <w:p w14:paraId="682D787E" w14:textId="77777777" w:rsidR="005D07A6" w:rsidRDefault="00F42774">
      <w:pPr>
        <w:pStyle w:val="LibelleRubrique"/>
      </w:pPr>
      <w:r>
        <w:t>Définition</w:t>
      </w:r>
    </w:p>
    <w:p w14:paraId="337456E9" w14:textId="77777777" w:rsidR="005D07A6" w:rsidRDefault="00F42774">
      <w:pPr>
        <w:pStyle w:val="CT"/>
      </w:pPr>
      <w:r>
        <w:rPr>
          <w:b/>
          <w:bCs/>
          <w:i/>
          <w:iCs/>
          <w:color w:val="FF0000"/>
        </w:rPr>
        <w:t>Échantillon</w:t>
      </w:r>
      <w:r>
        <w:rPr>
          <w:b/>
          <w:bCs/>
        </w:rPr>
        <w:t> :</w:t>
      </w:r>
      <w:r>
        <w:t xml:space="preserve"> </w:t>
      </w:r>
      <w:r>
        <w:rPr>
          <w:highlight w:val="green"/>
        </w:rPr>
        <w:fldChar w:fldCharType="begin"/>
      </w:r>
      <w:r>
        <w:rPr>
          <w:highlight w:val="green"/>
        </w:rPr>
        <w:instrText xml:space="preserve"> XE "</w:instrText>
      </w:r>
      <w:r>
        <w:rPr>
          <w:noProof/>
          <w:highlight w:val="green"/>
        </w:rPr>
        <w:instrText>Échantillon</w:instrText>
      </w:r>
      <w:r>
        <w:rPr>
          <w:highlight w:val="green"/>
        </w:rPr>
        <w:instrText xml:space="preserve">" </w:instrText>
      </w:r>
      <w:r>
        <w:rPr>
          <w:highlight w:val="green"/>
        </w:rPr>
        <w:fldChar w:fldCharType="end"/>
      </w:r>
      <w:r>
        <w:t>sous-ensemble de la population dont l’étude est appelée sondage.</w:t>
      </w:r>
    </w:p>
    <w:p w14:paraId="1136FA05" w14:textId="77777777" w:rsidR="005D07A6" w:rsidRDefault="00F42774">
      <w:pPr>
        <w:pStyle w:val="finfilet"/>
      </w:pPr>
      <w:r>
        <w:t>Fin Definition</w:t>
      </w:r>
    </w:p>
    <w:p w14:paraId="05224F56" w14:textId="77777777" w:rsidR="005D07A6" w:rsidRDefault="00F42774">
      <w:pPr>
        <w:pStyle w:val="debutfilet"/>
      </w:pPr>
      <w:r>
        <w:t>Definition</w:t>
      </w:r>
    </w:p>
    <w:p w14:paraId="104A4E97" w14:textId="77777777" w:rsidR="005D07A6" w:rsidRDefault="00F42774">
      <w:pPr>
        <w:pStyle w:val="LibelleRubrique"/>
      </w:pPr>
      <w:r>
        <w:t>Définition</w:t>
      </w:r>
    </w:p>
    <w:p w14:paraId="0DB5C11D" w14:textId="77777777" w:rsidR="005D07A6" w:rsidRDefault="00F42774">
      <w:pPr>
        <w:pStyle w:val="CT"/>
      </w:pPr>
      <w:r>
        <w:rPr>
          <w:b/>
          <w:bCs/>
          <w:i/>
          <w:iCs/>
          <w:color w:val="FF0000"/>
        </w:rPr>
        <w:t>Variable</w:t>
      </w:r>
      <w:r>
        <w:t xml:space="preserve"> </w:t>
      </w:r>
      <w:r>
        <w:rPr>
          <w:b/>
          <w:bCs/>
        </w:rPr>
        <w:t>(ou caractère) :</w:t>
      </w:r>
      <w:r>
        <w:t xml:space="preserve"> </w:t>
      </w:r>
      <w:r>
        <w:rPr>
          <w:highlight w:val="green"/>
        </w:rPr>
        <w:fldChar w:fldCharType="begin"/>
      </w:r>
      <w:r>
        <w:rPr>
          <w:highlight w:val="green"/>
        </w:rPr>
        <w:instrText xml:space="preserve"> XE "</w:instrText>
      </w:r>
      <w:r>
        <w:rPr>
          <w:noProof/>
          <w:highlight w:val="green"/>
        </w:rPr>
        <w:instrText>Variable</w:instrText>
      </w:r>
      <w:r>
        <w:rPr>
          <w:highlight w:val="green"/>
        </w:rPr>
        <w:instrText xml:space="preserve">" </w:instrText>
      </w:r>
      <w:r>
        <w:rPr>
          <w:highlight w:val="green"/>
        </w:rPr>
        <w:fldChar w:fldCharType="end"/>
      </w:r>
      <w:r>
        <w:t>caractéristique étudiée dans la population ou dans l’échantillon. On distingue deux types de variables (ou de caractères) :</w:t>
      </w:r>
    </w:p>
    <w:p w14:paraId="10BE293D" w14:textId="77777777" w:rsidR="005D07A6" w:rsidRDefault="00F42774">
      <w:pPr>
        <w:pStyle w:val="ET"/>
      </w:pPr>
      <w:r>
        <w:rPr>
          <w:b/>
          <w:bCs/>
        </w:rPr>
        <w:t>variable qualitative :</w:t>
      </w:r>
      <w:r>
        <w:t xml:space="preserve"> variable non mesurable (religion, situation maritale, marque d’un produit, etc.) ;</w:t>
      </w:r>
      <w:r>
        <w:rPr>
          <w:highlight w:val="green"/>
        </w:rPr>
        <w:fldChar w:fldCharType="begin"/>
      </w:r>
      <w:r>
        <w:rPr>
          <w:highlight w:val="green"/>
        </w:rPr>
        <w:instrText xml:space="preserve"> XE "</w:instrText>
      </w:r>
      <w:r>
        <w:rPr>
          <w:noProof/>
          <w:highlight w:val="green"/>
        </w:rPr>
        <w:instrText>Variable</w:instrText>
      </w:r>
      <w:r>
        <w:rPr>
          <w:highlight w:val="green"/>
        </w:rPr>
        <w:instrText>:</w:instrText>
      </w:r>
      <w:r>
        <w:rPr>
          <w:noProof/>
          <w:highlight w:val="green"/>
        </w:rPr>
        <w:instrText>– qualitative</w:instrText>
      </w:r>
      <w:r>
        <w:rPr>
          <w:highlight w:val="green"/>
        </w:rPr>
        <w:instrText xml:space="preserve">" </w:instrText>
      </w:r>
      <w:r>
        <w:rPr>
          <w:highlight w:val="green"/>
        </w:rPr>
        <w:fldChar w:fldCharType="end"/>
      </w:r>
    </w:p>
    <w:p w14:paraId="6A40C95F" w14:textId="77777777" w:rsidR="005D07A6" w:rsidRDefault="00F42774">
      <w:pPr>
        <w:pStyle w:val="ET"/>
      </w:pPr>
      <w:r>
        <w:rPr>
          <w:b/>
          <w:bCs/>
        </w:rPr>
        <w:t>variable quantitative</w:t>
      </w:r>
      <w:r>
        <w:rPr>
          <w:highlight w:val="green"/>
        </w:rPr>
        <w:fldChar w:fldCharType="begin"/>
      </w:r>
      <w:r>
        <w:rPr>
          <w:highlight w:val="green"/>
        </w:rPr>
        <w:instrText xml:space="preserve"> XE "</w:instrText>
      </w:r>
      <w:r>
        <w:rPr>
          <w:noProof/>
          <w:highlight w:val="green"/>
        </w:rPr>
        <w:instrText>Variable</w:instrText>
      </w:r>
      <w:r>
        <w:rPr>
          <w:highlight w:val="green"/>
        </w:rPr>
        <w:instrText>:</w:instrText>
      </w:r>
      <w:r>
        <w:rPr>
          <w:noProof/>
          <w:highlight w:val="green"/>
        </w:rPr>
        <w:instrText>– quantitative</w:instrText>
      </w:r>
      <w:r>
        <w:rPr>
          <w:highlight w:val="green"/>
        </w:rPr>
        <w:instrText xml:space="preserve">" </w:instrText>
      </w:r>
      <w:r>
        <w:rPr>
          <w:highlight w:val="green"/>
        </w:rPr>
        <w:fldChar w:fldCharType="end"/>
      </w:r>
      <w:r>
        <w:rPr>
          <w:b/>
          <w:bCs/>
        </w:rPr>
        <w:t> :</w:t>
      </w:r>
      <w:r>
        <w:t xml:space="preserve"> variable mesurable (âge, revenu, nombre de commandes, etc.).</w:t>
      </w:r>
    </w:p>
    <w:p w14:paraId="527A34E7" w14:textId="77777777" w:rsidR="005D07A6" w:rsidRDefault="00F42774">
      <w:pPr>
        <w:pStyle w:val="CT"/>
      </w:pPr>
      <w:r>
        <w:t xml:space="preserve">Une variable quantitative est dite </w:t>
      </w:r>
      <w:r>
        <w:rPr>
          <w:b/>
          <w:bCs/>
        </w:rPr>
        <w:t>discrète</w:t>
      </w:r>
      <w:r>
        <w:rPr>
          <w:highlight w:val="green"/>
        </w:rPr>
        <w:fldChar w:fldCharType="begin"/>
      </w:r>
      <w:r>
        <w:rPr>
          <w:highlight w:val="green"/>
        </w:rPr>
        <w:instrText xml:space="preserve"> XE "</w:instrText>
      </w:r>
      <w:r>
        <w:rPr>
          <w:noProof/>
          <w:highlight w:val="green"/>
        </w:rPr>
        <w:instrText>Variable</w:instrText>
      </w:r>
      <w:r>
        <w:rPr>
          <w:highlight w:val="green"/>
        </w:rPr>
        <w:instrText>:</w:instrText>
      </w:r>
      <w:r>
        <w:rPr>
          <w:noProof/>
          <w:highlight w:val="green"/>
        </w:rPr>
        <w:instrText>– discrète</w:instrText>
      </w:r>
      <w:r>
        <w:rPr>
          <w:highlight w:val="green"/>
        </w:rPr>
        <w:instrText xml:space="preserve">" </w:instrText>
      </w:r>
      <w:r>
        <w:rPr>
          <w:highlight w:val="green"/>
        </w:rPr>
        <w:fldChar w:fldCharType="end"/>
      </w:r>
      <w:r>
        <w:t xml:space="preserve"> ou (discontinue) si elle ne prend que des valeurs isolées.</w:t>
      </w:r>
    </w:p>
    <w:p w14:paraId="354C5145" w14:textId="77777777" w:rsidR="005D07A6" w:rsidRDefault="00F42774">
      <w:pPr>
        <w:pStyle w:val="CT"/>
      </w:pPr>
      <w:r>
        <w:t xml:space="preserve">Une variable quantitative est dite </w:t>
      </w:r>
      <w:r>
        <w:rPr>
          <w:b/>
          <w:bCs/>
        </w:rPr>
        <w:t>continue</w:t>
      </w:r>
      <w:r>
        <w:rPr>
          <w:highlight w:val="green"/>
        </w:rPr>
        <w:fldChar w:fldCharType="begin"/>
      </w:r>
      <w:r>
        <w:rPr>
          <w:highlight w:val="green"/>
        </w:rPr>
        <w:instrText xml:space="preserve"> XE "</w:instrText>
      </w:r>
      <w:r>
        <w:rPr>
          <w:noProof/>
          <w:highlight w:val="green"/>
        </w:rPr>
        <w:instrText>Variable</w:instrText>
      </w:r>
      <w:r>
        <w:rPr>
          <w:highlight w:val="green"/>
        </w:rPr>
        <w:instrText>:</w:instrText>
      </w:r>
      <w:r>
        <w:rPr>
          <w:noProof/>
          <w:highlight w:val="green"/>
        </w:rPr>
        <w:instrText>– continue</w:instrText>
      </w:r>
      <w:r>
        <w:rPr>
          <w:highlight w:val="green"/>
        </w:rPr>
        <w:instrText xml:space="preserve">" </w:instrText>
      </w:r>
      <w:r>
        <w:rPr>
          <w:highlight w:val="green"/>
        </w:rPr>
        <w:fldChar w:fldCharType="end"/>
      </w:r>
      <w:r>
        <w:t xml:space="preserve"> si elle peut prendre n’importe quelle valeur d’un intervalle de mesure.</w:t>
      </w:r>
    </w:p>
    <w:p w14:paraId="4BD68541" w14:textId="77777777" w:rsidR="005D07A6" w:rsidRDefault="00F42774">
      <w:pPr>
        <w:pStyle w:val="finfilet"/>
      </w:pPr>
      <w:r>
        <w:t>Fin Definition</w:t>
      </w:r>
    </w:p>
    <w:p w14:paraId="7FC2E97F" w14:textId="77777777" w:rsidR="005D07A6" w:rsidRDefault="00F42774">
      <w:pPr>
        <w:pStyle w:val="debutfilet"/>
      </w:pPr>
      <w:r>
        <w:t>Definition</w:t>
      </w:r>
    </w:p>
    <w:p w14:paraId="7384BA00" w14:textId="77777777" w:rsidR="005D07A6" w:rsidRDefault="00F42774">
      <w:pPr>
        <w:pStyle w:val="LibelleRubrique"/>
      </w:pPr>
      <w:r>
        <w:t>Définition</w:t>
      </w:r>
    </w:p>
    <w:p w14:paraId="45E07E6C" w14:textId="77777777" w:rsidR="005D07A6" w:rsidRDefault="00F42774">
      <w:pPr>
        <w:pStyle w:val="CT"/>
      </w:pPr>
      <w:r>
        <w:rPr>
          <w:b/>
          <w:bCs/>
          <w:i/>
          <w:iCs/>
          <w:color w:val="FF0000"/>
        </w:rPr>
        <w:t>Modalité</w:t>
      </w:r>
      <w:r>
        <w:rPr>
          <w:b/>
          <w:bCs/>
        </w:rPr>
        <w:t> :</w:t>
      </w:r>
      <w:r>
        <w:rPr>
          <w:highlight w:val="green"/>
        </w:rPr>
        <w:fldChar w:fldCharType="begin"/>
      </w:r>
      <w:r>
        <w:rPr>
          <w:highlight w:val="green"/>
        </w:rPr>
        <w:instrText xml:space="preserve"> XE "</w:instrText>
      </w:r>
      <w:r>
        <w:rPr>
          <w:noProof/>
          <w:highlight w:val="green"/>
        </w:rPr>
        <w:instrText>Modalité</w:instrText>
      </w:r>
      <w:r>
        <w:rPr>
          <w:highlight w:val="green"/>
        </w:rPr>
        <w:instrText xml:space="preserve">" </w:instrText>
      </w:r>
      <w:r>
        <w:rPr>
          <w:highlight w:val="green"/>
        </w:rPr>
        <w:fldChar w:fldCharType="end"/>
      </w:r>
      <w:r>
        <w:t xml:space="preserve"> « valeurs » prises par le caractère étudié.</w:t>
      </w:r>
    </w:p>
    <w:p w14:paraId="505EC8C7" w14:textId="77777777" w:rsidR="005D07A6" w:rsidRDefault="00F42774">
      <w:pPr>
        <w:pStyle w:val="CT"/>
      </w:pPr>
      <w:r>
        <w:t>Exemples :</w:t>
      </w:r>
    </w:p>
    <w:p w14:paraId="5F496870" w14:textId="77777777" w:rsidR="005D07A6" w:rsidRDefault="00F42774">
      <w:pPr>
        <w:pStyle w:val="ET"/>
      </w:pPr>
      <w:r>
        <w:t>sexe (caractère étudié) : « masculin », « féminin » (2 modalités possibles) ;</w:t>
      </w:r>
    </w:p>
    <w:p w14:paraId="1E386AFA" w14:textId="77777777" w:rsidR="005D07A6" w:rsidRDefault="00F42774">
      <w:pPr>
        <w:pStyle w:val="ET"/>
      </w:pPr>
      <w:r>
        <w:t>nombre d’enfants : « 0 », « 1 », « 2 », « 3 », « 4 », « 5 » (6 modalités possibles).</w:t>
      </w:r>
    </w:p>
    <w:p w14:paraId="756CCDF0" w14:textId="77777777" w:rsidR="005D07A6" w:rsidRDefault="00F42774">
      <w:pPr>
        <w:pStyle w:val="finfilet"/>
      </w:pPr>
      <w:r>
        <w:t>Fin Definition</w:t>
      </w:r>
    </w:p>
    <w:p w14:paraId="6A255736" w14:textId="77777777" w:rsidR="005D07A6" w:rsidRDefault="00F42774">
      <w:pPr>
        <w:pStyle w:val="T4"/>
      </w:pPr>
      <w:r>
        <w:t>I.</w:t>
      </w:r>
      <w:r>
        <w:tab/>
        <w:t>Séries à une variable</w:t>
      </w:r>
    </w:p>
    <w:p w14:paraId="358FA988" w14:textId="77777777" w:rsidR="005D07A6" w:rsidRDefault="00F42774">
      <w:pPr>
        <w:pStyle w:val="CTEspDessous"/>
      </w:pPr>
      <w:r>
        <w:t>La distribution statistique ou série statistique est l’ensemble des couples (X</w:t>
      </w:r>
      <w:r>
        <w:rPr>
          <w:vertAlign w:val="subscript"/>
        </w:rPr>
        <w:t>i</w:t>
      </w:r>
      <w:r>
        <w:t>, n</w:t>
      </w:r>
      <w:r>
        <w:rPr>
          <w:vertAlign w:val="subscript"/>
        </w:rPr>
        <w:t>i</w:t>
      </w:r>
      <w:r>
        <w:t>).</w:t>
      </w:r>
    </w:p>
    <w:tbl>
      <w:tblPr>
        <w:tblW w:w="7660" w:type="dxa"/>
        <w:tblInd w:w="1701" w:type="dxa"/>
        <w:tblLook w:val="04A0" w:firstRow="1" w:lastRow="0" w:firstColumn="1" w:lastColumn="0" w:noHBand="0" w:noVBand="1"/>
      </w:tblPr>
      <w:tblGrid>
        <w:gridCol w:w="1760"/>
        <w:gridCol w:w="1760"/>
        <w:gridCol w:w="1760"/>
        <w:gridCol w:w="2380"/>
      </w:tblGrid>
      <w:tr w:rsidR="005D07A6" w14:paraId="0921DC36" w14:textId="77777777">
        <w:tc>
          <w:tcPr>
            <w:tcW w:w="13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36783FF" w14:textId="77777777" w:rsidR="005D07A6" w:rsidRDefault="00F42774">
            <w:pPr>
              <w:pStyle w:val="TA1"/>
              <w:jc w:val="center"/>
              <w:rPr>
                <w:rFonts w:eastAsiaTheme="minorEastAsia"/>
              </w:rPr>
            </w:pPr>
            <w:r>
              <w:rPr>
                <w:b/>
                <w:bCs/>
              </w:rPr>
              <w:t>Modalités</w:t>
            </w:r>
          </w:p>
          <w:p w14:paraId="153FB351" w14:textId="77777777" w:rsidR="005D07A6" w:rsidRDefault="00F42774">
            <w:pPr>
              <w:pStyle w:val="TA1"/>
              <w:jc w:val="center"/>
              <w:rPr>
                <w:rFonts w:eastAsiaTheme="minorEastAsia"/>
              </w:rPr>
            </w:pPr>
            <w:r>
              <w:rPr>
                <w:b/>
                <w:bCs/>
              </w:rPr>
              <w:t>X</w:t>
            </w:r>
            <w:r>
              <w:rPr>
                <w:b/>
                <w:bCs/>
                <w:vertAlign w:val="subscript"/>
              </w:rPr>
              <w:t>i</w:t>
            </w:r>
          </w:p>
        </w:tc>
        <w:tc>
          <w:tcPr>
            <w:tcW w:w="13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7CEF08F" w14:textId="77777777" w:rsidR="005D07A6" w:rsidRDefault="00F42774">
            <w:pPr>
              <w:pStyle w:val="TA1"/>
              <w:jc w:val="center"/>
              <w:rPr>
                <w:rFonts w:eastAsiaTheme="minorEastAsia"/>
              </w:rPr>
            </w:pPr>
            <w:r>
              <w:rPr>
                <w:b/>
                <w:bCs/>
              </w:rPr>
              <w:t>Effectifs</w:t>
            </w:r>
          </w:p>
          <w:p w14:paraId="68EF7863" w14:textId="77777777" w:rsidR="005D07A6" w:rsidRDefault="00F42774">
            <w:pPr>
              <w:pStyle w:val="TA1"/>
              <w:jc w:val="center"/>
              <w:rPr>
                <w:rFonts w:eastAsiaTheme="minorEastAsia"/>
              </w:rPr>
            </w:pPr>
            <w:r>
              <w:rPr>
                <w:b/>
                <w:bCs/>
              </w:rPr>
              <w:t>n</w:t>
            </w:r>
            <w:r>
              <w:rPr>
                <w:b/>
                <w:bCs/>
                <w:vertAlign w:val="subscript"/>
              </w:rPr>
              <w:t>i</w:t>
            </w:r>
          </w:p>
        </w:tc>
        <w:tc>
          <w:tcPr>
            <w:tcW w:w="13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5EA5105" w14:textId="77777777" w:rsidR="005D07A6" w:rsidRDefault="00F42774">
            <w:pPr>
              <w:pStyle w:val="TA1"/>
              <w:jc w:val="center"/>
              <w:rPr>
                <w:rFonts w:eastAsiaTheme="minorEastAsia"/>
              </w:rPr>
            </w:pPr>
            <w:r>
              <w:rPr>
                <w:b/>
                <w:bCs/>
              </w:rPr>
              <w:t>Fréquences</w:t>
            </w:r>
          </w:p>
          <w:p w14:paraId="49330B9A" w14:textId="77777777" w:rsidR="005D07A6" w:rsidRDefault="00F42774">
            <w:pPr>
              <w:pStyle w:val="TA1"/>
              <w:jc w:val="center"/>
              <w:rPr>
                <w:rFonts w:eastAsiaTheme="minorEastAsia"/>
              </w:rPr>
            </w:pPr>
            <w:r>
              <w:rPr>
                <w:b/>
                <w:bCs/>
              </w:rPr>
              <w:t>f</w:t>
            </w:r>
            <w:r>
              <w:rPr>
                <w:b/>
                <w:bCs/>
                <w:vertAlign w:val="subscript"/>
              </w:rPr>
              <w:t>i</w:t>
            </w:r>
          </w:p>
        </w:tc>
        <w:tc>
          <w:tcPr>
            <w:tcW w:w="1785" w:type="dxa"/>
            <w:vMerge w:val="restart"/>
            <w:tcBorders>
              <w:top w:val="nil"/>
              <w:left w:val="single" w:sz="4" w:space="0" w:color="auto"/>
              <w:bottom w:val="nil"/>
              <w:right w:val="nil"/>
            </w:tcBorders>
            <w:tcMar>
              <w:top w:w="0" w:type="dxa"/>
              <w:left w:w="2" w:type="dxa"/>
              <w:bottom w:w="0" w:type="dxa"/>
              <w:right w:w="2" w:type="dxa"/>
            </w:tcMar>
            <w:hideMark/>
          </w:tcPr>
          <w:p w14:paraId="4650E42B" w14:textId="77777777" w:rsidR="005D07A6" w:rsidRDefault="00F42774">
            <w:pPr>
              <w:pStyle w:val="TA1"/>
              <w:rPr>
                <w:rFonts w:eastAsiaTheme="minorEastAsia"/>
              </w:rPr>
            </w:pPr>
            <w:r>
              <w:t>Effectif total, N = Σn</w:t>
            </w:r>
            <w:r>
              <w:rPr>
                <w:vertAlign w:val="subscript"/>
              </w:rPr>
              <w:t>i</w:t>
            </w:r>
          </w:p>
          <w:p w14:paraId="284E1B91" w14:textId="77777777" w:rsidR="005D07A6" w:rsidRDefault="00F42774">
            <w:pPr>
              <w:pStyle w:val="TA1"/>
            </w:pPr>
            <w:r>
              <w:t>Fréquence, f</w:t>
            </w:r>
            <w:r>
              <w:rPr>
                <w:vertAlign w:val="subscript"/>
              </w:rPr>
              <w:t>i</w:t>
            </w:r>
            <w:r>
              <w:t> = </w:t>
            </w:r>
            <m:oMath>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i</m:t>
                      </m:r>
                    </m:sub>
                  </m:sSub>
                </m:num>
                <m:den>
                  <m:r>
                    <w:rPr>
                      <w:rFonts w:ascii="Cambria Math" w:hAnsi="Cambria Math"/>
                    </w:rPr>
                    <m:t>N</m:t>
                  </m:r>
                </m:den>
              </m:f>
            </m:oMath>
          </w:p>
          <w:p w14:paraId="57844A43" w14:textId="77777777" w:rsidR="005D07A6" w:rsidRDefault="00F42774">
            <w:pPr>
              <w:pStyle w:val="TA1"/>
              <w:rPr>
                <w:rFonts w:eastAsiaTheme="minorEastAsia"/>
              </w:rPr>
            </w:pPr>
            <w:r>
              <w:t>Nota : Σf</w:t>
            </w:r>
            <w:r>
              <w:rPr>
                <w:vertAlign w:val="subscript"/>
              </w:rPr>
              <w:t>i</w:t>
            </w:r>
            <w:r>
              <w:t> = 1 0 ≤ f</w:t>
            </w:r>
            <w:r>
              <w:rPr>
                <w:vertAlign w:val="subscript"/>
              </w:rPr>
              <w:t>i</w:t>
            </w:r>
            <w:r>
              <w:t> ≤ 1</w:t>
            </w:r>
          </w:p>
        </w:tc>
      </w:tr>
      <w:tr w:rsidR="005D07A6" w14:paraId="75CAC235" w14:textId="77777777">
        <w:tc>
          <w:tcPr>
            <w:tcW w:w="13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309BE5C" w14:textId="77777777" w:rsidR="005D07A6" w:rsidRDefault="00F42774">
            <w:pPr>
              <w:pStyle w:val="TA1"/>
              <w:jc w:val="center"/>
              <w:rPr>
                <w:rFonts w:eastAsiaTheme="minorEastAsia"/>
              </w:rPr>
            </w:pPr>
            <w:r>
              <w:t>X</w:t>
            </w:r>
            <w:r>
              <w:rPr>
                <w:vertAlign w:val="subscript"/>
              </w:rPr>
              <w:t>1</w:t>
            </w:r>
          </w:p>
          <w:p w14:paraId="57D8B8D8" w14:textId="77777777" w:rsidR="005D07A6" w:rsidRDefault="00F42774">
            <w:pPr>
              <w:pStyle w:val="TA1"/>
              <w:jc w:val="center"/>
            </w:pPr>
            <w:r>
              <w:t>X</w:t>
            </w:r>
            <w:r>
              <w:rPr>
                <w:vertAlign w:val="subscript"/>
              </w:rPr>
              <w:t>2</w:t>
            </w:r>
          </w:p>
          <w:p w14:paraId="30382630" w14:textId="77777777" w:rsidR="005D07A6" w:rsidRDefault="00F42774">
            <w:pPr>
              <w:pStyle w:val="TA1"/>
              <w:jc w:val="center"/>
            </w:pPr>
            <w:r>
              <w:t>…</w:t>
            </w:r>
          </w:p>
          <w:p w14:paraId="751DD29B" w14:textId="77777777" w:rsidR="005D07A6" w:rsidRDefault="00F42774">
            <w:pPr>
              <w:pStyle w:val="TA1"/>
              <w:jc w:val="center"/>
              <w:rPr>
                <w:rFonts w:eastAsiaTheme="minorEastAsia"/>
              </w:rPr>
            </w:pPr>
            <w:r>
              <w:t>X</w:t>
            </w:r>
            <w:r>
              <w:rPr>
                <w:vertAlign w:val="subscript"/>
              </w:rPr>
              <w:t>n</w:t>
            </w:r>
          </w:p>
        </w:tc>
        <w:tc>
          <w:tcPr>
            <w:tcW w:w="13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42575FA" w14:textId="77777777" w:rsidR="005D07A6" w:rsidRDefault="00F42774">
            <w:pPr>
              <w:pStyle w:val="TA1"/>
              <w:jc w:val="center"/>
              <w:rPr>
                <w:rFonts w:eastAsiaTheme="minorEastAsia"/>
              </w:rPr>
            </w:pPr>
            <w:r>
              <w:t>n</w:t>
            </w:r>
            <w:r>
              <w:rPr>
                <w:vertAlign w:val="subscript"/>
              </w:rPr>
              <w:t>1</w:t>
            </w:r>
          </w:p>
          <w:p w14:paraId="7C2BC06C" w14:textId="77777777" w:rsidR="005D07A6" w:rsidRDefault="00F42774">
            <w:pPr>
              <w:pStyle w:val="TA1"/>
              <w:jc w:val="center"/>
            </w:pPr>
            <w:r>
              <w:t>n</w:t>
            </w:r>
            <w:r>
              <w:rPr>
                <w:vertAlign w:val="subscript"/>
              </w:rPr>
              <w:t>2</w:t>
            </w:r>
          </w:p>
          <w:p w14:paraId="3581EFD0" w14:textId="77777777" w:rsidR="005D07A6" w:rsidRDefault="00F42774">
            <w:pPr>
              <w:pStyle w:val="TA1"/>
              <w:jc w:val="center"/>
            </w:pPr>
            <w:r>
              <w:t>…</w:t>
            </w:r>
          </w:p>
          <w:p w14:paraId="54D9CCB6" w14:textId="77777777" w:rsidR="005D07A6" w:rsidRDefault="00F42774">
            <w:pPr>
              <w:pStyle w:val="TA1"/>
              <w:jc w:val="center"/>
              <w:rPr>
                <w:rFonts w:eastAsiaTheme="minorEastAsia"/>
              </w:rPr>
            </w:pPr>
            <w:r>
              <w:t>n</w:t>
            </w:r>
            <w:r>
              <w:rPr>
                <w:vertAlign w:val="subscript"/>
              </w:rPr>
              <w:t>n</w:t>
            </w:r>
          </w:p>
        </w:tc>
        <w:tc>
          <w:tcPr>
            <w:tcW w:w="13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28F4D44" w14:textId="77777777" w:rsidR="005D07A6" w:rsidRDefault="00F42774">
            <w:pPr>
              <w:pStyle w:val="TA1"/>
              <w:jc w:val="center"/>
              <w:rPr>
                <w:rFonts w:eastAsiaTheme="minorEastAsia"/>
              </w:rPr>
            </w:pPr>
            <w:r>
              <w:t>f</w:t>
            </w:r>
            <w:r>
              <w:rPr>
                <w:vertAlign w:val="subscript"/>
              </w:rPr>
              <w:t>1</w:t>
            </w:r>
          </w:p>
          <w:p w14:paraId="0E93F9CE" w14:textId="77777777" w:rsidR="005D07A6" w:rsidRDefault="00F42774">
            <w:pPr>
              <w:pStyle w:val="TA1"/>
              <w:jc w:val="center"/>
            </w:pPr>
            <w:r>
              <w:t>f</w:t>
            </w:r>
            <w:r>
              <w:rPr>
                <w:vertAlign w:val="subscript"/>
              </w:rPr>
              <w:t>2</w:t>
            </w:r>
          </w:p>
          <w:p w14:paraId="5DE30DFB" w14:textId="77777777" w:rsidR="005D07A6" w:rsidRDefault="00F42774">
            <w:pPr>
              <w:pStyle w:val="TA1"/>
              <w:jc w:val="center"/>
            </w:pPr>
            <w:r>
              <w:t>…</w:t>
            </w:r>
          </w:p>
          <w:p w14:paraId="6A9C2E39" w14:textId="77777777" w:rsidR="005D07A6" w:rsidRDefault="00F42774">
            <w:pPr>
              <w:pStyle w:val="TA1"/>
              <w:jc w:val="center"/>
              <w:rPr>
                <w:rFonts w:eastAsiaTheme="minorEastAsia"/>
              </w:rPr>
            </w:pPr>
            <w:r>
              <w:t>f</w:t>
            </w:r>
            <w:r>
              <w:rPr>
                <w:vertAlign w:val="subscript"/>
              </w:rPr>
              <w:t>n</w:t>
            </w:r>
          </w:p>
        </w:tc>
        <w:tc>
          <w:tcPr>
            <w:tcW w:w="0" w:type="auto"/>
            <w:vMerge/>
            <w:tcBorders>
              <w:top w:val="nil"/>
              <w:left w:val="single" w:sz="4" w:space="0" w:color="auto"/>
              <w:bottom w:val="nil"/>
              <w:right w:val="nil"/>
            </w:tcBorders>
            <w:vAlign w:val="center"/>
            <w:hideMark/>
          </w:tcPr>
          <w:p w14:paraId="04A62AF6" w14:textId="77777777" w:rsidR="005D07A6" w:rsidRDefault="005D07A6">
            <w:pPr>
              <w:rPr>
                <w:rFonts w:eastAsiaTheme="minorEastAsia"/>
              </w:rPr>
            </w:pPr>
          </w:p>
        </w:tc>
      </w:tr>
      <w:tr w:rsidR="005D07A6" w14:paraId="29630B82" w14:textId="77777777">
        <w:tc>
          <w:tcPr>
            <w:tcW w:w="13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E8956D9" w14:textId="77777777" w:rsidR="005D07A6" w:rsidRDefault="00F42774">
            <w:pPr>
              <w:pStyle w:val="TA1"/>
              <w:jc w:val="center"/>
              <w:rPr>
                <w:rFonts w:eastAsiaTheme="minorEastAsia"/>
              </w:rPr>
            </w:pPr>
            <w:r>
              <w:t>Totaux</w:t>
            </w:r>
          </w:p>
        </w:tc>
        <w:tc>
          <w:tcPr>
            <w:tcW w:w="13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5D5BCBD" w14:textId="77777777" w:rsidR="005D07A6" w:rsidRDefault="00F42774">
            <w:pPr>
              <w:pStyle w:val="TA1"/>
              <w:jc w:val="center"/>
              <w:rPr>
                <w:rFonts w:eastAsiaTheme="minorEastAsia"/>
              </w:rPr>
            </w:pPr>
            <w:r>
              <w:t>N</w:t>
            </w:r>
          </w:p>
        </w:tc>
        <w:tc>
          <w:tcPr>
            <w:tcW w:w="13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3B68CE2" w14:textId="77777777" w:rsidR="005D07A6" w:rsidRDefault="00F42774">
            <w:pPr>
              <w:pStyle w:val="TA1"/>
              <w:jc w:val="center"/>
              <w:rPr>
                <w:rFonts w:eastAsiaTheme="minorEastAsia"/>
              </w:rPr>
            </w:pPr>
            <w:r>
              <w:t>1</w:t>
            </w:r>
          </w:p>
        </w:tc>
        <w:tc>
          <w:tcPr>
            <w:tcW w:w="0" w:type="auto"/>
            <w:vMerge/>
            <w:tcBorders>
              <w:top w:val="nil"/>
              <w:left w:val="single" w:sz="4" w:space="0" w:color="auto"/>
              <w:bottom w:val="nil"/>
              <w:right w:val="nil"/>
            </w:tcBorders>
            <w:vAlign w:val="center"/>
            <w:hideMark/>
          </w:tcPr>
          <w:p w14:paraId="2D477512" w14:textId="77777777" w:rsidR="005D07A6" w:rsidRDefault="005D07A6">
            <w:pPr>
              <w:rPr>
                <w:rFonts w:eastAsiaTheme="minorEastAsia"/>
              </w:rPr>
            </w:pPr>
          </w:p>
        </w:tc>
      </w:tr>
    </w:tbl>
    <w:p w14:paraId="57BD3724" w14:textId="77777777" w:rsidR="005D07A6" w:rsidRDefault="00F42774">
      <w:pPr>
        <w:pStyle w:val="CT"/>
        <w:rPr>
          <w:rFonts w:eastAsiaTheme="minorEastAsia"/>
        </w:rPr>
      </w:pPr>
      <w:r>
        <w:t>Les modalités sont présentées sous forme de classes lorsque la variable est continue.</w:t>
      </w:r>
    </w:p>
    <w:p w14:paraId="10F953C5" w14:textId="77777777" w:rsidR="005D07A6" w:rsidRDefault="00F42774">
      <w:pPr>
        <w:pStyle w:val="CT"/>
      </w:pPr>
      <w:r>
        <w:t>Deux nombres sont fréquemment utilisés pour caractériser une série statistique à une variable : la moyenne arithmétique et l’écart-type.</w:t>
      </w:r>
    </w:p>
    <w:p w14:paraId="480F716D" w14:textId="77777777" w:rsidR="005D07A6" w:rsidRDefault="00F42774">
      <w:pPr>
        <w:pStyle w:val="ET"/>
      </w:pPr>
      <w:r>
        <w:t xml:space="preserve">La </w:t>
      </w:r>
      <w:r>
        <w:rPr>
          <w:b/>
          <w:bCs/>
        </w:rPr>
        <w:t>moyenne arithmétique</w:t>
      </w:r>
      <w:r>
        <w:rPr>
          <w:highlight w:val="green"/>
        </w:rPr>
        <w:fldChar w:fldCharType="begin"/>
      </w:r>
      <w:r>
        <w:rPr>
          <w:highlight w:val="green"/>
        </w:rPr>
        <w:instrText xml:space="preserve"> XE "</w:instrText>
      </w:r>
      <w:r>
        <w:rPr>
          <w:noProof/>
          <w:highlight w:val="green"/>
        </w:rPr>
        <w:instrText>Moyenne</w:instrText>
      </w:r>
      <w:r>
        <w:rPr>
          <w:highlight w:val="green"/>
        </w:rPr>
        <w:instrText>:</w:instrText>
      </w:r>
      <w:r>
        <w:rPr>
          <w:noProof/>
          <w:highlight w:val="green"/>
        </w:rPr>
        <w:instrText>– arithmétique</w:instrText>
      </w:r>
      <w:r>
        <w:rPr>
          <w:highlight w:val="green"/>
        </w:rPr>
        <w:instrText xml:space="preserve">" </w:instrText>
      </w:r>
      <w:r>
        <w:rPr>
          <w:highlight w:val="green"/>
        </w:rPr>
        <w:fldChar w:fldCharType="end"/>
      </w:r>
      <w:r>
        <w:t xml:space="preserve"> est la valeur la plus centrale d’une série. C’est le nombre noté défini par les égalités suivantes :</w:t>
      </w:r>
    </w:p>
    <w:p w14:paraId="137F39AB" w14:textId="77777777" w:rsidR="005D07A6" w:rsidRDefault="00362F64">
      <w:pPr>
        <w:pStyle w:val="ETS"/>
      </w:pPr>
      <m:oMath>
        <m:acc>
          <m:accPr>
            <m:chr m:val="̅"/>
            <m:ctrlPr>
              <w:rPr>
                <w:rFonts w:ascii="Cambria Math" w:hAnsi="Cambria Math"/>
              </w:rPr>
            </m:ctrlPr>
          </m:accPr>
          <m:e>
            <m:r>
              <w:rPr>
                <w:rFonts w:ascii="Cambria Math" w:hAnsi="Cambria Math"/>
              </w:rPr>
              <m:t>X</m:t>
            </m:r>
          </m:e>
        </m:acc>
        <m:r>
          <w:rPr>
            <w:rFonts w:ascii="Cambria Math" w:hAnsi="Cambria Math"/>
          </w:rPr>
          <m:t>=</m:t>
        </m:r>
        <m:f>
          <m:fPr>
            <m:ctrlPr>
              <w:rPr>
                <w:rFonts w:ascii="Cambria Math" w:hAnsi="Cambria Math"/>
              </w:rPr>
            </m:ctrlPr>
          </m:fPr>
          <m:num>
            <m:nary>
              <m:naryPr>
                <m:chr m:val="∑"/>
                <m:limLoc m:val="subSup"/>
                <m:grow m:val="1"/>
                <m:ctrlPr>
                  <w:rPr>
                    <w:rFonts w:ascii="Cambria Math" w:hAnsi="Cambria Math"/>
                  </w:rPr>
                </m:ctrlPr>
              </m:naryPr>
              <m:sub>
                <m:r>
                  <w:rPr>
                    <w:rFonts w:ascii="Cambria Math" w:hAnsi="Cambria Math"/>
                  </w:rPr>
                  <m:t>i=1</m:t>
                </m:r>
              </m:sub>
              <m:sup>
                <m:r>
                  <w:rPr>
                    <w:rFonts w:ascii="Cambria Math" w:hAnsi="Cambria Math"/>
                  </w:rPr>
                  <m:t>i=p</m:t>
                </m:r>
              </m:sup>
              <m:e/>
            </m:nary>
            <m:sSub>
              <m:sSubPr>
                <m:ctrlPr>
                  <w:rPr>
                    <w:rFonts w:ascii="Cambria Math" w:hAnsi="Cambria Math"/>
                  </w:rPr>
                </m:ctrlPr>
              </m:sSubPr>
              <m:e>
                <m:r>
                  <w:rPr>
                    <w:rFonts w:ascii="Cambria Math" w:hAnsi="Cambria Math"/>
                  </w:rPr>
                  <m:t>n</m:t>
                </m:r>
              </m:e>
              <m:sub>
                <m:r>
                  <w:rPr>
                    <w:rFonts w:ascii="Cambria Math" w:hAnsi="Cambria Math"/>
                  </w:rPr>
                  <m:t>i</m:t>
                </m:r>
              </m:sub>
            </m:sSub>
            <m:sSub>
              <m:sSubPr>
                <m:ctrlPr>
                  <w:rPr>
                    <w:rFonts w:ascii="Cambria Math" w:hAnsi="Cambria Math"/>
                  </w:rPr>
                </m:ctrlPr>
              </m:sSubPr>
              <m:e>
                <m:r>
                  <w:rPr>
                    <w:rFonts w:ascii="Cambria Math" w:hAnsi="Cambria Math"/>
                  </w:rPr>
                  <m:t>x</m:t>
                </m:r>
              </m:e>
              <m:sub>
                <m:r>
                  <w:rPr>
                    <w:rFonts w:ascii="Cambria Math" w:hAnsi="Cambria Math"/>
                  </w:rPr>
                  <m:t>i</m:t>
                </m:r>
              </m:sub>
            </m:sSub>
          </m:num>
          <m:den>
            <m:r>
              <w:rPr>
                <w:rFonts w:ascii="Cambria Math" w:hAnsi="Cambria Math"/>
              </w:rPr>
              <m:t>N</m:t>
            </m:r>
          </m:den>
        </m:f>
      </m:oMath>
      <w:r w:rsidR="00F42774">
        <w:t xml:space="preserve"> ou </w:t>
      </w:r>
      <m:oMath>
        <m:acc>
          <m:accPr>
            <m:chr m:val="̅"/>
            <m:ctrlPr>
              <w:rPr>
                <w:rFonts w:ascii="Cambria Math" w:hAnsi="Cambria Math"/>
              </w:rPr>
            </m:ctrlPr>
          </m:accPr>
          <m:e>
            <m:r>
              <w:rPr>
                <w:rFonts w:ascii="Cambria Math" w:hAnsi="Cambria Math"/>
              </w:rPr>
              <m:t>X</m:t>
            </m:r>
          </m:e>
        </m:acc>
        <m:r>
          <w:rPr>
            <w:rFonts w:ascii="Cambria Math" w:hAnsi="Cambria Math"/>
          </w:rPr>
          <m:t>=</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i=p</m:t>
            </m:r>
          </m:sup>
          <m:e/>
        </m:nary>
        <m:sSub>
          <m:sSubPr>
            <m:ctrlPr>
              <w:rPr>
                <w:rFonts w:ascii="Cambria Math" w:hAnsi="Cambria Math"/>
              </w:rPr>
            </m:ctrlPr>
          </m:sSubPr>
          <m:e>
            <m:r>
              <w:rPr>
                <w:rFonts w:ascii="Cambria Math" w:hAnsi="Cambria Math"/>
              </w:rPr>
              <m:t>f</m:t>
            </m:r>
          </m:e>
          <m:sub>
            <m:r>
              <w:rPr>
                <w:rFonts w:ascii="Cambria Math" w:hAnsi="Cambria Math"/>
              </w:rPr>
              <m:t>i</m:t>
            </m:r>
          </m:sub>
        </m:sSub>
        <m:sSub>
          <m:sSubPr>
            <m:ctrlPr>
              <w:rPr>
                <w:rFonts w:ascii="Cambria Math" w:hAnsi="Cambria Math"/>
              </w:rPr>
            </m:ctrlPr>
          </m:sSubPr>
          <m:e>
            <m:r>
              <w:rPr>
                <w:rFonts w:ascii="Cambria Math" w:hAnsi="Cambria Math"/>
              </w:rPr>
              <m:t>x</m:t>
            </m:r>
          </m:e>
          <m:sub>
            <m:r>
              <w:rPr>
                <w:rFonts w:ascii="Cambria Math" w:hAnsi="Cambria Math"/>
              </w:rPr>
              <m:t>i</m:t>
            </m:r>
          </m:sub>
        </m:sSub>
      </m:oMath>
    </w:p>
    <w:p w14:paraId="12D40B26" w14:textId="77777777" w:rsidR="005D07A6" w:rsidRDefault="00F42774">
      <w:pPr>
        <w:pStyle w:val="debutfilet"/>
      </w:pPr>
      <w:r>
        <w:t>Definition</w:t>
      </w:r>
    </w:p>
    <w:p w14:paraId="6BBC62DB" w14:textId="77777777" w:rsidR="005D07A6" w:rsidRDefault="00F42774">
      <w:pPr>
        <w:pStyle w:val="LibelleRubrique"/>
      </w:pPr>
      <w:r>
        <w:t>Définition</w:t>
      </w:r>
    </w:p>
    <w:p w14:paraId="35295249" w14:textId="77777777" w:rsidR="005D07A6" w:rsidRDefault="00F42774">
      <w:pPr>
        <w:pStyle w:val="CT"/>
      </w:pPr>
      <w:r>
        <w:t xml:space="preserve">La </w:t>
      </w:r>
      <w:r>
        <w:rPr>
          <w:b/>
          <w:bCs/>
          <w:i/>
          <w:iCs/>
          <w:color w:val="FF0000"/>
        </w:rPr>
        <w:t>moyenne</w:t>
      </w:r>
      <w:r>
        <w:rPr>
          <w:highlight w:val="green"/>
        </w:rPr>
        <w:fldChar w:fldCharType="begin"/>
      </w:r>
      <w:r>
        <w:rPr>
          <w:highlight w:val="green"/>
        </w:rPr>
        <w:instrText xml:space="preserve"> XE "</w:instrText>
      </w:r>
      <w:r>
        <w:rPr>
          <w:noProof/>
          <w:highlight w:val="green"/>
        </w:rPr>
        <w:instrText>Moyenne</w:instrText>
      </w:r>
      <w:r>
        <w:rPr>
          <w:highlight w:val="green"/>
        </w:rPr>
        <w:instrText xml:space="preserve">" </w:instrText>
      </w:r>
      <w:r>
        <w:rPr>
          <w:highlight w:val="green"/>
        </w:rPr>
        <w:fldChar w:fldCharType="end"/>
      </w:r>
      <w:r>
        <w:t xml:space="preserve"> est un indicateur de tendance générale d’une série de données.</w:t>
      </w:r>
    </w:p>
    <w:p w14:paraId="0D469590" w14:textId="77777777" w:rsidR="005D07A6" w:rsidRDefault="00F42774">
      <w:pPr>
        <w:pStyle w:val="finfilet"/>
      </w:pPr>
      <w:r>
        <w:t>Fin Definition</w:t>
      </w:r>
    </w:p>
    <w:p w14:paraId="67E45D06" w14:textId="77777777" w:rsidR="005D07A6" w:rsidRDefault="00F42774">
      <w:pPr>
        <w:pStyle w:val="ET"/>
      </w:pPr>
      <w:r>
        <w:t xml:space="preserve">La </w:t>
      </w:r>
      <w:r>
        <w:rPr>
          <w:b/>
          <w:bCs/>
        </w:rPr>
        <w:t>variance</w:t>
      </w:r>
      <w:r>
        <w:rPr>
          <w:highlight w:val="green"/>
        </w:rPr>
        <w:fldChar w:fldCharType="begin"/>
      </w:r>
      <w:r>
        <w:rPr>
          <w:highlight w:val="green"/>
        </w:rPr>
        <w:instrText xml:space="preserve"> XE "</w:instrText>
      </w:r>
      <w:r>
        <w:rPr>
          <w:noProof/>
          <w:highlight w:val="green"/>
        </w:rPr>
        <w:instrText>Variance</w:instrText>
      </w:r>
      <w:r>
        <w:rPr>
          <w:highlight w:val="green"/>
        </w:rPr>
        <w:instrText xml:space="preserve">" </w:instrText>
      </w:r>
      <w:r>
        <w:rPr>
          <w:highlight w:val="green"/>
        </w:rPr>
        <w:fldChar w:fldCharType="end"/>
      </w:r>
      <w:r>
        <w:t>, notée V(X) ou encore σ</w:t>
      </w:r>
      <w:r>
        <w:rPr>
          <w:vertAlign w:val="superscript"/>
        </w:rPr>
        <w:t>2</w:t>
      </w:r>
      <w:r>
        <w:t xml:space="preserve"> (X), est la moyenne arithmétique des carrés des écarts à la moyenne :</w:t>
      </w:r>
    </w:p>
    <w:p w14:paraId="3ED1935C" w14:textId="77777777" w:rsidR="005D07A6" w:rsidRDefault="00F42774">
      <w:pPr>
        <w:pStyle w:val="ETS"/>
      </w:pPr>
      <m:oMathPara>
        <m:oMath>
          <m:r>
            <w:rPr>
              <w:rFonts w:ascii="Cambria Math" w:hAnsi="Cambria Math"/>
            </w:rPr>
            <w:lastRenderedPageBreak/>
            <m:t>V(X)=</m:t>
          </m:r>
          <m:f>
            <m:fPr>
              <m:ctrlPr>
                <w:rPr>
                  <w:rFonts w:ascii="Cambria Math" w:hAnsi="Cambria Math"/>
                </w:rPr>
              </m:ctrlPr>
            </m:fPr>
            <m:num>
              <m:r>
                <w:rPr>
                  <w:rFonts w:ascii="Cambria Math" w:hAnsi="Cambria Math"/>
                </w:rPr>
                <m:t>1</m:t>
              </m:r>
            </m:num>
            <m:den>
              <m:r>
                <w:rPr>
                  <w:rFonts w:ascii="Cambria Math" w:hAnsi="Cambria Math"/>
                </w:rPr>
                <m:t>N</m:t>
              </m:r>
            </m:den>
          </m:f>
          <m:r>
            <m:rPr>
              <m:nor/>
            </m:rPr>
            <m:t> </m:t>
          </m:r>
          <m:nary>
            <m:naryPr>
              <m:chr m:val="∑"/>
              <m:limLoc m:val="subSup"/>
              <m:grow m:val="1"/>
              <m:subHide m:val="1"/>
              <m:ctrlPr>
                <w:rPr>
                  <w:rFonts w:ascii="Cambria Math" w:hAnsi="Cambria Math"/>
                </w:rPr>
              </m:ctrlPr>
            </m:naryPr>
            <m:sub/>
            <m:sup/>
            <m:e/>
          </m:nary>
          <m:r>
            <m:rPr>
              <m:nor/>
            </m:rPr>
            <m:t> </m:t>
          </m:r>
          <m:sSub>
            <m:sSubPr>
              <m:ctrlPr>
                <w:rPr>
                  <w:rFonts w:ascii="Cambria Math" w:hAnsi="Cambria Math"/>
                </w:rPr>
              </m:ctrlPr>
            </m:sSubPr>
            <m:e>
              <m:r>
                <w:rPr>
                  <w:rFonts w:ascii="Cambria Math" w:hAnsi="Cambria Math"/>
                </w:rPr>
                <m:t>n</m:t>
              </m:r>
            </m:e>
            <m:sub>
              <m:r>
                <w:rPr>
                  <w:rFonts w:ascii="Cambria Math" w:hAnsi="Cambria Math"/>
                </w:rPr>
                <m:t>i</m:t>
              </m:r>
            </m:sub>
          </m:sSub>
          <m:r>
            <m:rPr>
              <m:nor/>
            </m:rPr>
            <m:t> </m:t>
          </m:r>
          <m:sSup>
            <m:sSupPr>
              <m:ctrlPr>
                <w:rPr>
                  <w:rFonts w:ascii="Cambria Math" w:hAnsi="Cambria Math"/>
                </w:rPr>
              </m:ctrlPr>
            </m:sSupPr>
            <m:e>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rPr>
                  </m:ctrlPr>
                </m:accPr>
                <m:e>
                  <m:r>
                    <w:rPr>
                      <w:rFonts w:ascii="Cambria Math" w:hAnsi="Cambria Math"/>
                    </w:rPr>
                    <m:t>X</m:t>
                  </m:r>
                </m:e>
              </m:acc>
              <m:r>
                <w:rPr>
                  <w:rFonts w:ascii="Cambria Math" w:hAnsi="Cambria Math"/>
                </w:rPr>
                <m:t>)</m:t>
              </m:r>
            </m:e>
            <m:sup>
              <m:r>
                <w:rPr>
                  <w:rFonts w:ascii="Cambria Math" w:hAnsi="Cambria Math"/>
                </w:rPr>
                <m:t>2</m:t>
              </m:r>
            </m:sup>
          </m:sSup>
        </m:oMath>
      </m:oMathPara>
    </w:p>
    <w:p w14:paraId="090F04A5" w14:textId="77777777" w:rsidR="005D07A6" w:rsidRDefault="00F42774">
      <w:pPr>
        <w:pStyle w:val="ETS"/>
      </w:pPr>
      <w:r>
        <w:t>Il est préférable d’utiliser la formule suivante qui simplifie les calculs :</w:t>
      </w:r>
    </w:p>
    <w:p w14:paraId="2031E7B7" w14:textId="77777777" w:rsidR="005D07A6" w:rsidRDefault="00F42774">
      <w:pPr>
        <w:pStyle w:val="ETS"/>
      </w:pPr>
      <m:oMathPara>
        <m:oMath>
          <m:r>
            <w:rPr>
              <w:rFonts w:ascii="Cambria Math" w:hAnsi="Cambria Math"/>
            </w:rPr>
            <m:t>V(X)=</m:t>
          </m:r>
          <m:f>
            <m:fPr>
              <m:ctrlPr>
                <w:rPr>
                  <w:rFonts w:ascii="Cambria Math" w:hAnsi="Cambria Math"/>
                </w:rPr>
              </m:ctrlPr>
            </m:fPr>
            <m:num>
              <m:nary>
                <m:naryPr>
                  <m:chr m:val="∑"/>
                  <m:limLoc m:val="subSup"/>
                  <m:grow m:val="1"/>
                  <m:subHide m:val="1"/>
                  <m:ctrlPr>
                    <w:rPr>
                      <w:rFonts w:ascii="Cambria Math" w:hAnsi="Cambria Math"/>
                    </w:rPr>
                  </m:ctrlPr>
                </m:naryPr>
                <m:sub/>
                <m:sup/>
                <m:e/>
              </m:nary>
              <m:r>
                <m:rPr>
                  <m:nor/>
                </m:rPr>
                <m:t> </m:t>
              </m:r>
              <m:sSub>
                <m:sSubPr>
                  <m:ctrlPr>
                    <w:rPr>
                      <w:rFonts w:ascii="Cambria Math" w:hAnsi="Cambria Math"/>
                    </w:rPr>
                  </m:ctrlPr>
                </m:sSubPr>
                <m:e>
                  <m:r>
                    <w:rPr>
                      <w:rFonts w:ascii="Cambria Math" w:hAnsi="Cambria Math"/>
                    </w:rPr>
                    <m:t>n</m:t>
                  </m:r>
                </m:e>
                <m:sub>
                  <m:r>
                    <w:rPr>
                      <w:rFonts w:ascii="Cambria Math" w:hAnsi="Cambria Math"/>
                    </w:rPr>
                    <m:t>i</m:t>
                  </m:r>
                </m:sub>
              </m:sSub>
              <m:r>
                <m:rPr>
                  <m:nor/>
                </m:rPr>
                <m:t> </m:t>
              </m:r>
              <m:sSub>
                <m:sSubPr>
                  <m:ctrlPr>
                    <w:rPr>
                      <w:rFonts w:ascii="Cambria Math" w:hAnsi="Cambria Math"/>
                    </w:rPr>
                  </m:ctrlPr>
                </m:sSubPr>
                <m:e>
                  <m:r>
                    <w:rPr>
                      <w:rFonts w:ascii="Cambria Math" w:hAnsi="Cambria Math"/>
                    </w:rPr>
                    <m:t>X</m:t>
                  </m:r>
                </m:e>
                <m:sub>
                  <m:r>
                    <w:rPr>
                      <w:rFonts w:ascii="Cambria Math" w:hAnsi="Cambria Math"/>
                    </w:rPr>
                    <m:t>i</m:t>
                  </m:r>
                </m:sub>
              </m:sSub>
              <m:sSup>
                <m:sSupPr>
                  <m:ctrlPr>
                    <w:rPr>
                      <w:rFonts w:ascii="Cambria Math" w:hAnsi="Cambria Math"/>
                    </w:rPr>
                  </m:ctrlPr>
                </m:sSupPr>
                <m:e/>
                <m:sup>
                  <m:r>
                    <w:rPr>
                      <w:rFonts w:ascii="Cambria Math" w:hAnsi="Cambria Math"/>
                    </w:rPr>
                    <m:t>2</m:t>
                  </m:r>
                </m:sup>
              </m:sSup>
            </m:num>
            <m:den>
              <m:r>
                <w:rPr>
                  <w:rFonts w:ascii="Cambria Math" w:hAnsi="Cambria Math"/>
                </w:rPr>
                <m:t>N</m:t>
              </m:r>
            </m:den>
          </m:f>
          <m:r>
            <m:rPr>
              <m:nor/>
            </m:rPr>
            <m:t>  </m:t>
          </m:r>
          <m:r>
            <w:rPr>
              <w:rFonts w:ascii="Cambria Math" w:hAnsi="Cambria Math"/>
            </w:rPr>
            <m:t>-</m:t>
          </m:r>
          <m:sSup>
            <m:sSupPr>
              <m:ctrlPr>
                <w:rPr>
                  <w:rFonts w:ascii="Cambria Math" w:hAnsi="Cambria Math"/>
                </w:rPr>
              </m:ctrlPr>
            </m:sSupPr>
            <m:e>
              <m:acc>
                <m:accPr>
                  <m:chr m:val="̅"/>
                  <m:ctrlPr>
                    <w:rPr>
                      <w:rFonts w:ascii="Cambria Math" w:hAnsi="Cambria Math"/>
                    </w:rPr>
                  </m:ctrlPr>
                </m:accPr>
                <m:e>
                  <m:r>
                    <w:rPr>
                      <w:rFonts w:ascii="Cambria Math" w:hAnsi="Cambria Math"/>
                    </w:rPr>
                    <m:t>X</m:t>
                  </m:r>
                </m:e>
              </m:acc>
            </m:e>
            <m:sup>
              <m:r>
                <w:rPr>
                  <w:rFonts w:ascii="Cambria Math" w:hAnsi="Cambria Math"/>
                </w:rPr>
                <m:t>2</m:t>
              </m:r>
            </m:sup>
          </m:sSup>
        </m:oMath>
      </m:oMathPara>
    </w:p>
    <w:p w14:paraId="35930CAE" w14:textId="77777777" w:rsidR="005D07A6" w:rsidRDefault="00F42774">
      <w:pPr>
        <w:pStyle w:val="CT"/>
      </w:pPr>
      <w:r>
        <w:t>La variance est un nombre qui n’a pas la même unité que la variable étudiée (la variance est le résultat de calculs élevés au carré. Il s’agit d’un indicateur « quadratique »).</w:t>
      </w:r>
    </w:p>
    <w:p w14:paraId="655A47B3" w14:textId="77777777" w:rsidR="005D07A6" w:rsidRDefault="00F42774">
      <w:pPr>
        <w:pStyle w:val="CT"/>
      </w:pPr>
      <w:r>
        <w:t>Aussi est-il plus significatif de retenir l’écart-type, racine carrée de la variance, pour annuler l’effet des carrés.</w:t>
      </w:r>
    </w:p>
    <w:p w14:paraId="537D8BB9" w14:textId="77777777" w:rsidR="005D07A6" w:rsidRDefault="00F42774">
      <w:pPr>
        <w:pStyle w:val="CTEspDessous"/>
      </w:pPr>
      <w:r>
        <w:rPr>
          <w:b/>
          <w:bCs/>
        </w:rPr>
        <w:t>L’écart-type</w:t>
      </w:r>
      <w:r>
        <w:rPr>
          <w:highlight w:val="green"/>
        </w:rPr>
        <w:fldChar w:fldCharType="begin"/>
      </w:r>
      <w:r>
        <w:rPr>
          <w:highlight w:val="green"/>
        </w:rPr>
        <w:instrText xml:space="preserve"> XE "</w:instrText>
      </w:r>
      <w:r>
        <w:rPr>
          <w:noProof/>
          <w:highlight w:val="green"/>
        </w:rPr>
        <w:instrText>Écart-type</w:instrText>
      </w:r>
      <w:r>
        <w:rPr>
          <w:highlight w:val="green"/>
        </w:rPr>
        <w:instrText xml:space="preserve">" </w:instrText>
      </w:r>
      <w:r>
        <w:rPr>
          <w:highlight w:val="green"/>
        </w:rPr>
        <w:fldChar w:fldCharType="end"/>
      </w:r>
      <w:r>
        <w:t xml:space="preserve"> (parfois appelé « déviation standard »), noté σ(X), est la racine carrée de la variance :</w:t>
      </w:r>
    </w:p>
    <w:p w14:paraId="12660F0D" w14:textId="77777777" w:rsidR="005D07A6" w:rsidRDefault="00F42774">
      <w:pPr>
        <w:pStyle w:val="CTEspDessous"/>
      </w:pPr>
      <m:oMathPara>
        <m:oMath>
          <m:r>
            <w:rPr>
              <w:rFonts w:ascii="Cambria Math" w:hAnsi="Cambria Math"/>
            </w:rPr>
            <m:t>σ(X)=</m:t>
          </m:r>
          <m:rad>
            <m:radPr>
              <m:degHide m:val="1"/>
              <m:ctrlPr>
                <w:rPr>
                  <w:rFonts w:ascii="Cambria Math" w:hAnsi="Cambria Math"/>
                </w:rPr>
              </m:ctrlPr>
            </m:radPr>
            <m:deg/>
            <m:e>
              <m:r>
                <w:rPr>
                  <w:rFonts w:ascii="Cambria Math" w:hAnsi="Cambria Math"/>
                </w:rPr>
                <m:t>V(X)</m:t>
              </m:r>
            </m:e>
          </m:rad>
        </m:oMath>
      </m:oMathPara>
    </w:p>
    <w:p w14:paraId="705C2D34" w14:textId="77777777" w:rsidR="005D07A6" w:rsidRDefault="00F42774">
      <w:pPr>
        <w:pStyle w:val="debutfilet"/>
      </w:pPr>
      <w:r>
        <w:t>Definition</w:t>
      </w:r>
    </w:p>
    <w:p w14:paraId="1B3F08AC" w14:textId="77777777" w:rsidR="005D07A6" w:rsidRDefault="00F42774">
      <w:pPr>
        <w:pStyle w:val="LibelleRubrique"/>
      </w:pPr>
      <w:r>
        <w:t>Définition</w:t>
      </w:r>
    </w:p>
    <w:p w14:paraId="5C3C6DCC" w14:textId="77777777" w:rsidR="005D07A6" w:rsidRDefault="00F42774">
      <w:pPr>
        <w:pStyle w:val="CT"/>
      </w:pPr>
      <w:r>
        <w:t>L’</w:t>
      </w:r>
      <w:r>
        <w:rPr>
          <w:b/>
          <w:bCs/>
          <w:i/>
          <w:iCs/>
          <w:color w:val="FF0000"/>
        </w:rPr>
        <w:t>écart-type</w:t>
      </w:r>
      <w:r>
        <w:t xml:space="preserve"> est un indicateur de dispersion (ou de volatilité) d’une série de données.</w:t>
      </w:r>
    </w:p>
    <w:p w14:paraId="154D179C" w14:textId="77777777" w:rsidR="005D07A6" w:rsidRDefault="00F42774">
      <w:pPr>
        <w:pStyle w:val="finfilet"/>
      </w:pPr>
      <w:r>
        <w:t>Fin Definition</w:t>
      </w:r>
    </w:p>
    <w:p w14:paraId="498F6FBF" w14:textId="77777777" w:rsidR="005D07A6" w:rsidRDefault="00F42774">
      <w:pPr>
        <w:pStyle w:val="CTEspDessous"/>
      </w:pPr>
      <w:r>
        <w:t>L’écart-type mesure la dispersion autour de la moyenne et est utilisé en gestion pour mesurer le risque : plus la dispersion est importante, plus le risque est élevé.</w:t>
      </w:r>
    </w:p>
    <w:p w14:paraId="1EBED572" w14:textId="77777777" w:rsidR="005D07A6" w:rsidRDefault="00F42774">
      <w:pPr>
        <w:pStyle w:val="CTEspDessous"/>
      </w:pPr>
      <w:r>
        <w:t>Pour apprécier le risque, l’écart-type peut également être rapporté à la moyenne pour donner l’indice de risque.</w:t>
      </w:r>
    </w:p>
    <w:p w14:paraId="1A0F2ED6" w14:textId="77777777" w:rsidR="005D07A6" w:rsidRDefault="00F42774">
      <w:pPr>
        <w:pStyle w:val="debutfilet"/>
      </w:pPr>
      <w:r>
        <w:t>Definition</w:t>
      </w:r>
    </w:p>
    <w:p w14:paraId="538498F7" w14:textId="77777777" w:rsidR="005D07A6" w:rsidRDefault="00F42774">
      <w:pPr>
        <w:pStyle w:val="LibelleRubrique"/>
      </w:pPr>
      <w:r>
        <w:t>Définition</w:t>
      </w:r>
    </w:p>
    <w:p w14:paraId="20ED11AD" w14:textId="77777777" w:rsidR="005D07A6" w:rsidRDefault="00F42774">
      <w:pPr>
        <w:pStyle w:val="CT"/>
      </w:pPr>
      <w:r>
        <w:rPr>
          <w:b/>
          <w:bCs/>
          <w:i/>
          <w:iCs/>
          <w:color w:val="FF0000"/>
        </w:rPr>
        <w:t>Indice de risque</w:t>
      </w:r>
      <w:r>
        <w:rPr>
          <w:highlight w:val="green"/>
        </w:rPr>
        <w:fldChar w:fldCharType="begin"/>
      </w:r>
      <w:r>
        <w:rPr>
          <w:highlight w:val="green"/>
        </w:rPr>
        <w:instrText xml:space="preserve"> XE "</w:instrText>
      </w:r>
      <w:r>
        <w:rPr>
          <w:noProof/>
          <w:highlight w:val="green"/>
        </w:rPr>
        <w:instrText>Indice de risque</w:instrText>
      </w:r>
      <w:r>
        <w:rPr>
          <w:highlight w:val="green"/>
        </w:rPr>
        <w:instrText xml:space="preserve">" </w:instrText>
      </w:r>
      <w:r>
        <w:rPr>
          <w:highlight w:val="green"/>
        </w:rPr>
        <w:fldChar w:fldCharType="end"/>
      </w:r>
      <w:r>
        <w:t xml:space="preserve"> = = σ(X)/ </w:t>
      </w:r>
      <w:r>
        <w:rPr>
          <w:u w:val="single"/>
        </w:rPr>
        <w:t>X</w:t>
      </w:r>
    </w:p>
    <w:p w14:paraId="41CBDA70" w14:textId="77777777" w:rsidR="005D07A6" w:rsidRDefault="00F42774">
      <w:pPr>
        <w:pStyle w:val="finfilet"/>
      </w:pPr>
      <w:r>
        <w:t>Fin Definition</w:t>
      </w:r>
    </w:p>
    <w:p w14:paraId="4487C431" w14:textId="77777777" w:rsidR="005D07A6" w:rsidRDefault="00F42774">
      <w:pPr>
        <w:pStyle w:val="CTEspDessous"/>
      </w:pPr>
      <w:r>
        <w:t>On considère que le risque est important quand l’indice est supérieur à 1, c’est-à-dire quand l’écart-type est supérieur à la moyenne.</w:t>
      </w:r>
    </w:p>
    <w:p w14:paraId="277E6CE9" w14:textId="77777777" w:rsidR="005D07A6" w:rsidRDefault="00F42774">
      <w:pPr>
        <w:pStyle w:val="debutfilet"/>
      </w:pPr>
      <w:r>
        <w:t>Remarque</w:t>
      </w:r>
    </w:p>
    <w:p w14:paraId="3824E9B5" w14:textId="77777777" w:rsidR="005D07A6" w:rsidRDefault="00F42774">
      <w:pPr>
        <w:pStyle w:val="LibelleRubrique"/>
      </w:pPr>
      <w:r>
        <w:t>Remarques</w:t>
      </w:r>
    </w:p>
    <w:p w14:paraId="7B268E08" w14:textId="77777777" w:rsidR="005D07A6" w:rsidRDefault="00F42774">
      <w:pPr>
        <w:pStyle w:val="ET"/>
      </w:pPr>
      <w:r>
        <w:t>Il n’est pas pertinent d’apprendre des formules par cœur, mais il faut savoir les construire et les exploiter.</w:t>
      </w:r>
    </w:p>
    <w:p w14:paraId="1123BB7A" w14:textId="77777777" w:rsidR="005D07A6" w:rsidRDefault="00F42774">
      <w:pPr>
        <w:pStyle w:val="ET"/>
      </w:pPr>
      <w:r>
        <w:t>Pour un caractère quantitatif continu, il convient de prendre le centre des classes.</w:t>
      </w:r>
    </w:p>
    <w:p w14:paraId="22DBE075" w14:textId="77777777" w:rsidR="005D07A6" w:rsidRDefault="00F42774">
      <w:pPr>
        <w:pStyle w:val="finfilet"/>
      </w:pPr>
      <w:r>
        <w:t>Fin Remarque</w:t>
      </w:r>
    </w:p>
    <w:p w14:paraId="683EB7A0" w14:textId="77777777" w:rsidR="005D07A6" w:rsidRDefault="00F42774">
      <w:pPr>
        <w:pStyle w:val="debutfiletr"/>
      </w:pPr>
      <w:r>
        <w:t>Application _n-9</w:t>
      </w:r>
    </w:p>
    <w:p w14:paraId="49176E22" w14:textId="77777777" w:rsidR="005D07A6" w:rsidRDefault="00F42774">
      <w:pPr>
        <w:pStyle w:val="CT"/>
      </w:pPr>
      <w:r>
        <w:t>Un enseignant veut comparer les résultats à l’examen de deux groupes d’étudiants. Dans le premier groupe, les notes sont les suivantes :</w:t>
      </w:r>
    </w:p>
    <w:tbl>
      <w:tblPr>
        <w:tblW w:w="7620" w:type="dxa"/>
        <w:tblInd w:w="1701" w:type="dxa"/>
        <w:tblLook w:val="04A0" w:firstRow="1" w:lastRow="0" w:firstColumn="1" w:lastColumn="0" w:noHBand="0" w:noVBand="1"/>
      </w:tblPr>
      <w:tblGrid>
        <w:gridCol w:w="1520"/>
        <w:gridCol w:w="1220"/>
        <w:gridCol w:w="1220"/>
        <w:gridCol w:w="1220"/>
        <w:gridCol w:w="1220"/>
        <w:gridCol w:w="1220"/>
      </w:tblGrid>
      <w:tr w:rsidR="005D07A6" w14:paraId="7C7A2A70" w14:textId="77777777">
        <w:tc>
          <w:tcPr>
            <w:tcW w:w="114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2E8F59B" w14:textId="77777777" w:rsidR="005D07A6" w:rsidRDefault="00F42774">
            <w:pPr>
              <w:pStyle w:val="TA1"/>
              <w:jc w:val="center"/>
              <w:rPr>
                <w:rFonts w:eastAsiaTheme="minorEastAsia"/>
              </w:rPr>
            </w:pPr>
            <w:r>
              <w:rPr>
                <w:b/>
                <w:bCs/>
              </w:rPr>
              <w:t>Étudiant</w:t>
            </w:r>
          </w:p>
        </w:tc>
        <w:tc>
          <w:tcPr>
            <w:tcW w:w="91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E22FA52" w14:textId="77777777" w:rsidR="005D07A6" w:rsidRDefault="00F42774">
            <w:pPr>
              <w:pStyle w:val="TA1"/>
              <w:jc w:val="center"/>
              <w:rPr>
                <w:rFonts w:eastAsiaTheme="minorEastAsia"/>
              </w:rPr>
            </w:pPr>
            <w:r>
              <w:rPr>
                <w:b/>
                <w:bCs/>
              </w:rPr>
              <w:t>A</w:t>
            </w:r>
          </w:p>
        </w:tc>
        <w:tc>
          <w:tcPr>
            <w:tcW w:w="91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EEA12C6" w14:textId="77777777" w:rsidR="005D07A6" w:rsidRDefault="00F42774">
            <w:pPr>
              <w:pStyle w:val="TA1"/>
              <w:jc w:val="center"/>
              <w:rPr>
                <w:rFonts w:eastAsiaTheme="minorEastAsia"/>
              </w:rPr>
            </w:pPr>
            <w:r>
              <w:rPr>
                <w:b/>
                <w:bCs/>
              </w:rPr>
              <w:t>B</w:t>
            </w:r>
          </w:p>
        </w:tc>
        <w:tc>
          <w:tcPr>
            <w:tcW w:w="91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4DF20D9" w14:textId="77777777" w:rsidR="005D07A6" w:rsidRDefault="00F42774">
            <w:pPr>
              <w:pStyle w:val="TA1"/>
              <w:jc w:val="center"/>
              <w:rPr>
                <w:rFonts w:eastAsiaTheme="minorEastAsia"/>
              </w:rPr>
            </w:pPr>
            <w:r>
              <w:rPr>
                <w:b/>
                <w:bCs/>
              </w:rPr>
              <w:t>C</w:t>
            </w:r>
          </w:p>
        </w:tc>
        <w:tc>
          <w:tcPr>
            <w:tcW w:w="91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EFC2CD4" w14:textId="77777777" w:rsidR="005D07A6" w:rsidRDefault="00F42774">
            <w:pPr>
              <w:pStyle w:val="TA1"/>
              <w:jc w:val="center"/>
              <w:rPr>
                <w:rFonts w:eastAsiaTheme="minorEastAsia"/>
              </w:rPr>
            </w:pPr>
            <w:r>
              <w:rPr>
                <w:b/>
                <w:bCs/>
              </w:rPr>
              <w:t>D</w:t>
            </w:r>
          </w:p>
        </w:tc>
        <w:tc>
          <w:tcPr>
            <w:tcW w:w="91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B508E92" w14:textId="77777777" w:rsidR="005D07A6" w:rsidRDefault="00F42774">
            <w:pPr>
              <w:pStyle w:val="TA1"/>
              <w:jc w:val="center"/>
              <w:rPr>
                <w:rFonts w:eastAsiaTheme="minorEastAsia"/>
              </w:rPr>
            </w:pPr>
            <w:r>
              <w:rPr>
                <w:b/>
                <w:bCs/>
              </w:rPr>
              <w:t>E</w:t>
            </w:r>
          </w:p>
        </w:tc>
      </w:tr>
      <w:tr w:rsidR="005D07A6" w14:paraId="2D0BD396" w14:textId="77777777">
        <w:tc>
          <w:tcPr>
            <w:tcW w:w="11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5BAFBC0" w14:textId="77777777" w:rsidR="005D07A6" w:rsidRDefault="00F42774">
            <w:pPr>
              <w:pStyle w:val="TA1"/>
              <w:jc w:val="center"/>
              <w:rPr>
                <w:rFonts w:eastAsiaTheme="minorEastAsia"/>
              </w:rPr>
            </w:pPr>
            <w:r>
              <w:t>X</w:t>
            </w:r>
            <w:r>
              <w:rPr>
                <w:vertAlign w:val="subscript"/>
              </w:rPr>
              <w:t>i</w:t>
            </w:r>
          </w:p>
        </w:tc>
        <w:tc>
          <w:tcPr>
            <w:tcW w:w="9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158F8B3" w14:textId="77777777" w:rsidR="005D07A6" w:rsidRDefault="00F42774">
            <w:pPr>
              <w:pStyle w:val="TA1"/>
              <w:jc w:val="center"/>
              <w:rPr>
                <w:rFonts w:eastAsiaTheme="minorEastAsia"/>
              </w:rPr>
            </w:pPr>
            <w:r>
              <w:t>10</w:t>
            </w:r>
          </w:p>
        </w:tc>
        <w:tc>
          <w:tcPr>
            <w:tcW w:w="9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D49BFEB" w14:textId="77777777" w:rsidR="005D07A6" w:rsidRDefault="00F42774">
            <w:pPr>
              <w:pStyle w:val="TA1"/>
              <w:jc w:val="center"/>
              <w:rPr>
                <w:rFonts w:eastAsiaTheme="minorEastAsia"/>
              </w:rPr>
            </w:pPr>
            <w:r>
              <w:t>8</w:t>
            </w:r>
          </w:p>
        </w:tc>
        <w:tc>
          <w:tcPr>
            <w:tcW w:w="9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15492DB" w14:textId="77777777" w:rsidR="005D07A6" w:rsidRDefault="00F42774">
            <w:pPr>
              <w:pStyle w:val="TA1"/>
              <w:jc w:val="center"/>
              <w:rPr>
                <w:rFonts w:eastAsiaTheme="minorEastAsia"/>
              </w:rPr>
            </w:pPr>
            <w:r>
              <w:t>10</w:t>
            </w:r>
          </w:p>
        </w:tc>
        <w:tc>
          <w:tcPr>
            <w:tcW w:w="9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492B865" w14:textId="77777777" w:rsidR="005D07A6" w:rsidRDefault="00F42774">
            <w:pPr>
              <w:pStyle w:val="TA1"/>
              <w:jc w:val="center"/>
              <w:rPr>
                <w:rFonts w:eastAsiaTheme="minorEastAsia"/>
              </w:rPr>
            </w:pPr>
            <w:r>
              <w:t>12</w:t>
            </w:r>
          </w:p>
        </w:tc>
        <w:tc>
          <w:tcPr>
            <w:tcW w:w="9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BB8D68D" w14:textId="77777777" w:rsidR="005D07A6" w:rsidRDefault="00F42774">
            <w:pPr>
              <w:pStyle w:val="TA1"/>
              <w:jc w:val="center"/>
              <w:rPr>
                <w:rFonts w:eastAsiaTheme="minorEastAsia"/>
              </w:rPr>
            </w:pPr>
            <w:r>
              <w:t>10</w:t>
            </w:r>
          </w:p>
        </w:tc>
      </w:tr>
    </w:tbl>
    <w:p w14:paraId="39C0FEC7" w14:textId="77777777" w:rsidR="005D07A6" w:rsidRDefault="00F42774">
      <w:pPr>
        <w:pStyle w:val="CT"/>
        <w:rPr>
          <w:rFonts w:eastAsiaTheme="minorEastAsia"/>
        </w:rPr>
      </w:pPr>
      <w:r>
        <w:t>Dans le deuxième groupe, les notes sont les suivantes :</w:t>
      </w:r>
    </w:p>
    <w:tbl>
      <w:tblPr>
        <w:tblW w:w="7620" w:type="dxa"/>
        <w:tblInd w:w="1701" w:type="dxa"/>
        <w:tblLook w:val="04A0" w:firstRow="1" w:lastRow="0" w:firstColumn="1" w:lastColumn="0" w:noHBand="0" w:noVBand="1"/>
      </w:tblPr>
      <w:tblGrid>
        <w:gridCol w:w="1520"/>
        <w:gridCol w:w="1220"/>
        <w:gridCol w:w="1220"/>
        <w:gridCol w:w="1220"/>
        <w:gridCol w:w="1220"/>
        <w:gridCol w:w="1220"/>
      </w:tblGrid>
      <w:tr w:rsidR="005D07A6" w14:paraId="56EB82BB" w14:textId="77777777">
        <w:tc>
          <w:tcPr>
            <w:tcW w:w="114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BFAF79A" w14:textId="77777777" w:rsidR="005D07A6" w:rsidRDefault="00F42774">
            <w:pPr>
              <w:pStyle w:val="TA1"/>
              <w:jc w:val="center"/>
              <w:rPr>
                <w:rFonts w:eastAsiaTheme="minorEastAsia"/>
              </w:rPr>
            </w:pPr>
            <w:r>
              <w:rPr>
                <w:b/>
                <w:bCs/>
              </w:rPr>
              <w:t>Étudiant</w:t>
            </w:r>
          </w:p>
        </w:tc>
        <w:tc>
          <w:tcPr>
            <w:tcW w:w="91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5F9AA96" w14:textId="77777777" w:rsidR="005D07A6" w:rsidRDefault="00F42774">
            <w:pPr>
              <w:pStyle w:val="TA1"/>
              <w:jc w:val="center"/>
              <w:rPr>
                <w:rFonts w:eastAsiaTheme="minorEastAsia"/>
              </w:rPr>
            </w:pPr>
            <w:r>
              <w:rPr>
                <w:b/>
                <w:bCs/>
              </w:rPr>
              <w:t>V</w:t>
            </w:r>
          </w:p>
        </w:tc>
        <w:tc>
          <w:tcPr>
            <w:tcW w:w="91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611F596" w14:textId="77777777" w:rsidR="005D07A6" w:rsidRDefault="00F42774">
            <w:pPr>
              <w:pStyle w:val="TA1"/>
              <w:jc w:val="center"/>
              <w:rPr>
                <w:rFonts w:eastAsiaTheme="minorEastAsia"/>
              </w:rPr>
            </w:pPr>
            <w:r>
              <w:rPr>
                <w:b/>
                <w:bCs/>
              </w:rPr>
              <w:t>W</w:t>
            </w:r>
          </w:p>
        </w:tc>
        <w:tc>
          <w:tcPr>
            <w:tcW w:w="91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A076511" w14:textId="77777777" w:rsidR="005D07A6" w:rsidRDefault="00F42774">
            <w:pPr>
              <w:pStyle w:val="TA1"/>
              <w:jc w:val="center"/>
              <w:rPr>
                <w:rFonts w:eastAsiaTheme="minorEastAsia"/>
              </w:rPr>
            </w:pPr>
            <w:r>
              <w:rPr>
                <w:b/>
                <w:bCs/>
              </w:rPr>
              <w:t>X</w:t>
            </w:r>
          </w:p>
        </w:tc>
        <w:tc>
          <w:tcPr>
            <w:tcW w:w="91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8BD1477" w14:textId="77777777" w:rsidR="005D07A6" w:rsidRDefault="00F42774">
            <w:pPr>
              <w:pStyle w:val="TA1"/>
              <w:jc w:val="center"/>
              <w:rPr>
                <w:rFonts w:eastAsiaTheme="minorEastAsia"/>
              </w:rPr>
            </w:pPr>
            <w:r>
              <w:rPr>
                <w:b/>
                <w:bCs/>
              </w:rPr>
              <w:t>Y</w:t>
            </w:r>
          </w:p>
        </w:tc>
        <w:tc>
          <w:tcPr>
            <w:tcW w:w="91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8C70A87" w14:textId="77777777" w:rsidR="005D07A6" w:rsidRDefault="00F42774">
            <w:pPr>
              <w:pStyle w:val="TA1"/>
              <w:jc w:val="center"/>
              <w:rPr>
                <w:rFonts w:eastAsiaTheme="minorEastAsia"/>
              </w:rPr>
            </w:pPr>
            <w:r>
              <w:rPr>
                <w:b/>
                <w:bCs/>
              </w:rPr>
              <w:t>Z</w:t>
            </w:r>
          </w:p>
        </w:tc>
      </w:tr>
      <w:tr w:rsidR="005D07A6" w14:paraId="4917C977" w14:textId="77777777">
        <w:tc>
          <w:tcPr>
            <w:tcW w:w="11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40327C9" w14:textId="77777777" w:rsidR="005D07A6" w:rsidRDefault="00F42774">
            <w:pPr>
              <w:pStyle w:val="TA1"/>
              <w:jc w:val="center"/>
              <w:rPr>
                <w:rFonts w:eastAsiaTheme="minorEastAsia"/>
              </w:rPr>
            </w:pPr>
            <w:r>
              <w:t>X</w:t>
            </w:r>
            <w:r>
              <w:rPr>
                <w:vertAlign w:val="subscript"/>
              </w:rPr>
              <w:t>i</w:t>
            </w:r>
          </w:p>
        </w:tc>
        <w:tc>
          <w:tcPr>
            <w:tcW w:w="9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81A1A6B" w14:textId="77777777" w:rsidR="005D07A6" w:rsidRDefault="00F42774">
            <w:pPr>
              <w:pStyle w:val="TA1"/>
              <w:jc w:val="center"/>
              <w:rPr>
                <w:rFonts w:eastAsiaTheme="minorEastAsia"/>
              </w:rPr>
            </w:pPr>
            <w:r>
              <w:t>2</w:t>
            </w:r>
          </w:p>
        </w:tc>
        <w:tc>
          <w:tcPr>
            <w:tcW w:w="9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C7450E4" w14:textId="77777777" w:rsidR="005D07A6" w:rsidRDefault="00F42774">
            <w:pPr>
              <w:pStyle w:val="TA1"/>
              <w:jc w:val="center"/>
              <w:rPr>
                <w:rFonts w:eastAsiaTheme="minorEastAsia"/>
              </w:rPr>
            </w:pPr>
            <w:r>
              <w:t>5</w:t>
            </w:r>
          </w:p>
        </w:tc>
        <w:tc>
          <w:tcPr>
            <w:tcW w:w="9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5500262" w14:textId="77777777" w:rsidR="005D07A6" w:rsidRDefault="00F42774">
            <w:pPr>
              <w:pStyle w:val="TA1"/>
              <w:jc w:val="center"/>
              <w:rPr>
                <w:rFonts w:eastAsiaTheme="minorEastAsia"/>
              </w:rPr>
            </w:pPr>
            <w:r>
              <w:t>18</w:t>
            </w:r>
          </w:p>
        </w:tc>
        <w:tc>
          <w:tcPr>
            <w:tcW w:w="9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9785559" w14:textId="77777777" w:rsidR="005D07A6" w:rsidRDefault="00F42774">
            <w:pPr>
              <w:pStyle w:val="TA1"/>
              <w:jc w:val="center"/>
              <w:rPr>
                <w:rFonts w:eastAsiaTheme="minorEastAsia"/>
              </w:rPr>
            </w:pPr>
            <w:r>
              <w:t>15</w:t>
            </w:r>
          </w:p>
        </w:tc>
        <w:tc>
          <w:tcPr>
            <w:tcW w:w="9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86F18D1" w14:textId="77777777" w:rsidR="005D07A6" w:rsidRDefault="00F42774">
            <w:pPr>
              <w:pStyle w:val="TA1"/>
              <w:jc w:val="center"/>
              <w:rPr>
                <w:rFonts w:eastAsiaTheme="minorEastAsia"/>
              </w:rPr>
            </w:pPr>
            <w:r>
              <w:t>10</w:t>
            </w:r>
          </w:p>
        </w:tc>
      </w:tr>
    </w:tbl>
    <w:p w14:paraId="3098B545" w14:textId="77777777" w:rsidR="005D07A6" w:rsidRDefault="00F42774">
      <w:pPr>
        <w:pStyle w:val="CT"/>
        <w:rPr>
          <w:rFonts w:eastAsiaTheme="minorEastAsia"/>
        </w:rPr>
      </w:pPr>
      <w:r>
        <w:t>Sans faire aucun calcul, on peut assez rapidement constater que les notes du premier groupe sont très proches les unes des autres. Le minimum est de 8 et le maximum est de 12. Le groupe est homogène. Le second groupe est, au contraire, très hétérogène. La note minimale est de 2 mais le maximum est de 18. On peut dire de manière un peu rapide que le premier groupe réunit cinq étudiants « moyens » or, dans le second groupe, des étudiants maîtrisent parfaitement la matière alors que d’autres ne la maîtrisent pas du tout.</w:t>
      </w:r>
    </w:p>
    <w:p w14:paraId="6D6EE624" w14:textId="77777777" w:rsidR="005D07A6" w:rsidRDefault="00F42774">
      <w:pPr>
        <w:pStyle w:val="CT"/>
      </w:pPr>
      <w:r>
        <w:t>Mais peut-on dire qu’un groupe est meilleur qu’un autre ? Si l’on observe les deux séries de notes, comme elles réunissent peu de données, on constate assez simplement que le niveau moyen semble similaire.</w:t>
      </w:r>
    </w:p>
    <w:p w14:paraId="527FD742" w14:textId="77777777" w:rsidR="005D07A6" w:rsidRDefault="00F42774">
      <w:pPr>
        <w:pStyle w:val="CT"/>
      </w:pPr>
      <w:r>
        <w:lastRenderedPageBreak/>
        <w:t>La moyenne et l’écart-type sont deux indicateurs (deux calculs) qui permettent de traduire exactement ce que nous venons de dire. Lorsque les séries sont peu importantes, il n’est pas nécessaire d’effectuer ces calculs pour se faire une opinion, mais lorsque les séries sont importantes (imaginons deux groupes de 50 étudiants), la seule observation ne suffit plus à se faire une opinion.</w:t>
      </w:r>
    </w:p>
    <w:p w14:paraId="0D71D346" w14:textId="77777777" w:rsidR="005D07A6" w:rsidRDefault="00F42774">
      <w:pPr>
        <w:pStyle w:val="CT"/>
      </w:pPr>
      <w:r>
        <w:t>La note moyenne du premier groupe est égale à 10 = (10 + 8 + 10 + 12 + 10)/5.</w:t>
      </w:r>
    </w:p>
    <w:p w14:paraId="62C2E52A" w14:textId="77777777" w:rsidR="005D07A6" w:rsidRDefault="00F42774">
      <w:pPr>
        <w:pStyle w:val="CT"/>
      </w:pPr>
      <w:r>
        <w:t>La note moyenne du second groupe est égale à 10 = (2 + 18 + 5 + 15 + 10)/5.</w:t>
      </w:r>
    </w:p>
    <w:p w14:paraId="69DE7A0F" w14:textId="77777777" w:rsidR="005D07A6" w:rsidRDefault="00F42774">
      <w:pPr>
        <w:pStyle w:val="CT"/>
      </w:pPr>
      <w:r>
        <w:t xml:space="preserve">On constate que les deux moyennes sont égales. On dit que la moyenne est un </w:t>
      </w:r>
      <w:r>
        <w:rPr>
          <w:b/>
          <w:bCs/>
        </w:rPr>
        <w:t>indicateur de tendance</w:t>
      </w:r>
      <w:r>
        <w:t> : ici, le niveau moyen de chaque groupe est rigoureusement identique.</w:t>
      </w:r>
    </w:p>
    <w:p w14:paraId="16FD90AE" w14:textId="77777777" w:rsidR="005D07A6" w:rsidRDefault="00F42774">
      <w:pPr>
        <w:pStyle w:val="CT"/>
      </w:pPr>
      <w:r>
        <w:t>La moyenne est l’indicateur le plus connu. Sur tous les bulletins scolaires, nous sommes habitués à lire la moyenne matière par matière. Pourtant, cet indicateur utile n’est pas suffisant. Ici par exemple, on pourrait croire que les deux groupes sont identiques si l’on ne regarde que la moyenne. D’où l’intérêt de calculer un second indicateur : l’écart-type (qui ne figure malheureusement pas sur les bulletins scolaires et est beaucoup moins populaire malgré son intérêt).</w:t>
      </w:r>
    </w:p>
    <w:p w14:paraId="18A42706" w14:textId="77777777" w:rsidR="005D07A6" w:rsidRDefault="00F42774">
      <w:pPr>
        <w:pStyle w:val="CT"/>
      </w:pPr>
      <w:r>
        <w:t xml:space="preserve">Pour calculer l’écart-type, il peut suffire de saisir la série et de savoir utiliser sa calculatrice. Si on veut le calculer manuellement, c’est un peu laborieux mais pas très compliqué. Il faut, pour chaque individu, calculer la différence entre la note et la moyenne. Autrement dit, plus un étudiant a une note éloignée de la moyenne, plus l’écart sera important. Ensuite, il suffit de faire la moyenne des écarts (que l’on met au carré uniquement pour annuler les signes opposés). On obtient la variance. </w:t>
      </w:r>
      <w:r>
        <w:rPr>
          <w:b/>
          <w:bCs/>
        </w:rPr>
        <w:t>L’écart-type est la racine carrée de la variance</w:t>
      </w:r>
      <w:r>
        <w:t>.</w:t>
      </w:r>
    </w:p>
    <w:tbl>
      <w:tblPr>
        <w:tblW w:w="7620" w:type="dxa"/>
        <w:tblInd w:w="1701" w:type="dxa"/>
        <w:tblLook w:val="04A0" w:firstRow="1" w:lastRow="0" w:firstColumn="1" w:lastColumn="0" w:noHBand="0" w:noVBand="1"/>
      </w:tblPr>
      <w:tblGrid>
        <w:gridCol w:w="1560"/>
        <w:gridCol w:w="780"/>
        <w:gridCol w:w="780"/>
        <w:gridCol w:w="780"/>
        <w:gridCol w:w="780"/>
        <w:gridCol w:w="780"/>
        <w:gridCol w:w="1080"/>
        <w:gridCol w:w="1080"/>
      </w:tblGrid>
      <w:tr w:rsidR="005D07A6" w14:paraId="5586C88E" w14:textId="77777777">
        <w:tc>
          <w:tcPr>
            <w:tcW w:w="11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C79D36A" w14:textId="77777777" w:rsidR="005D07A6" w:rsidRDefault="00F42774">
            <w:pPr>
              <w:pStyle w:val="TA1"/>
              <w:rPr>
                <w:rFonts w:eastAsiaTheme="minorEastAsia"/>
              </w:rPr>
            </w:pPr>
            <w:r>
              <w:rPr>
                <w:b/>
                <w:bCs/>
              </w:rPr>
              <w:t>Étudiant</w:t>
            </w:r>
          </w:p>
        </w:tc>
        <w:tc>
          <w:tcPr>
            <w:tcW w:w="58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8B0793B" w14:textId="77777777" w:rsidR="005D07A6" w:rsidRDefault="00F42774">
            <w:pPr>
              <w:pStyle w:val="TA1"/>
              <w:jc w:val="center"/>
              <w:rPr>
                <w:rFonts w:eastAsiaTheme="minorEastAsia"/>
              </w:rPr>
            </w:pPr>
            <w:r>
              <w:rPr>
                <w:b/>
                <w:bCs/>
              </w:rPr>
              <w:t>A</w:t>
            </w:r>
          </w:p>
        </w:tc>
        <w:tc>
          <w:tcPr>
            <w:tcW w:w="58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5277951" w14:textId="77777777" w:rsidR="005D07A6" w:rsidRDefault="00F42774">
            <w:pPr>
              <w:pStyle w:val="TA1"/>
              <w:jc w:val="center"/>
              <w:rPr>
                <w:rFonts w:eastAsiaTheme="minorEastAsia"/>
              </w:rPr>
            </w:pPr>
            <w:r>
              <w:rPr>
                <w:b/>
                <w:bCs/>
              </w:rPr>
              <w:t>B</w:t>
            </w:r>
          </w:p>
        </w:tc>
        <w:tc>
          <w:tcPr>
            <w:tcW w:w="58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665EAB3" w14:textId="77777777" w:rsidR="005D07A6" w:rsidRDefault="00F42774">
            <w:pPr>
              <w:pStyle w:val="TA1"/>
              <w:jc w:val="center"/>
              <w:rPr>
                <w:rFonts w:eastAsiaTheme="minorEastAsia"/>
              </w:rPr>
            </w:pPr>
            <w:r>
              <w:rPr>
                <w:b/>
                <w:bCs/>
              </w:rPr>
              <w:t>C</w:t>
            </w:r>
          </w:p>
        </w:tc>
        <w:tc>
          <w:tcPr>
            <w:tcW w:w="58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EE9996F" w14:textId="77777777" w:rsidR="005D07A6" w:rsidRDefault="00F42774">
            <w:pPr>
              <w:pStyle w:val="TA1"/>
              <w:jc w:val="center"/>
              <w:rPr>
                <w:rFonts w:eastAsiaTheme="minorEastAsia"/>
              </w:rPr>
            </w:pPr>
            <w:r>
              <w:rPr>
                <w:b/>
                <w:bCs/>
              </w:rPr>
              <w:t>D</w:t>
            </w:r>
          </w:p>
        </w:tc>
        <w:tc>
          <w:tcPr>
            <w:tcW w:w="58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2B0314F" w14:textId="77777777" w:rsidR="005D07A6" w:rsidRDefault="00F42774">
            <w:pPr>
              <w:pStyle w:val="TA1"/>
              <w:jc w:val="center"/>
              <w:rPr>
                <w:rFonts w:eastAsiaTheme="minorEastAsia"/>
              </w:rPr>
            </w:pPr>
            <w:r>
              <w:rPr>
                <w:b/>
                <w:bCs/>
              </w:rPr>
              <w:t>E</w:t>
            </w:r>
          </w:p>
        </w:tc>
        <w:tc>
          <w:tcPr>
            <w:tcW w:w="81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C607272" w14:textId="77777777" w:rsidR="005D07A6" w:rsidRDefault="00F42774">
            <w:pPr>
              <w:pStyle w:val="TA1"/>
              <w:jc w:val="center"/>
              <w:rPr>
                <w:rFonts w:eastAsiaTheme="minorEastAsia"/>
              </w:rPr>
            </w:pPr>
            <w:r>
              <w:rPr>
                <w:b/>
                <w:bCs/>
              </w:rPr>
              <w:t>Total</w:t>
            </w:r>
          </w:p>
        </w:tc>
        <w:tc>
          <w:tcPr>
            <w:tcW w:w="81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B137BF3" w14:textId="77777777" w:rsidR="005D07A6" w:rsidRDefault="00F42774">
            <w:pPr>
              <w:pStyle w:val="TA1"/>
              <w:jc w:val="center"/>
              <w:rPr>
                <w:rFonts w:eastAsiaTheme="minorEastAsia"/>
              </w:rPr>
            </w:pPr>
            <w:r>
              <w:rPr>
                <w:b/>
                <w:bCs/>
              </w:rPr>
              <w:t>Moyenne</w:t>
            </w:r>
          </w:p>
        </w:tc>
      </w:tr>
      <w:tr w:rsidR="005D07A6" w14:paraId="78792C4A" w14:textId="77777777">
        <w:tc>
          <w:tcPr>
            <w:tcW w:w="11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EC8E107" w14:textId="77777777" w:rsidR="005D07A6" w:rsidRDefault="00F42774">
            <w:pPr>
              <w:pStyle w:val="TA1"/>
              <w:rPr>
                <w:rFonts w:eastAsiaTheme="minorEastAsia"/>
              </w:rPr>
            </w:pPr>
            <w:r>
              <w:t>X</w:t>
            </w:r>
            <w:r>
              <w:rPr>
                <w:vertAlign w:val="subscript"/>
              </w:rPr>
              <w:t>i</w:t>
            </w:r>
          </w:p>
        </w:tc>
        <w:tc>
          <w:tcPr>
            <w:tcW w:w="5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B6DA388" w14:textId="77777777" w:rsidR="005D07A6" w:rsidRDefault="00F42774">
            <w:pPr>
              <w:pStyle w:val="TA1"/>
              <w:jc w:val="right"/>
              <w:rPr>
                <w:rFonts w:eastAsiaTheme="minorEastAsia"/>
              </w:rPr>
            </w:pPr>
            <w:r>
              <w:t>10</w:t>
            </w:r>
          </w:p>
        </w:tc>
        <w:tc>
          <w:tcPr>
            <w:tcW w:w="5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8277803" w14:textId="77777777" w:rsidR="005D07A6" w:rsidRDefault="00F42774">
            <w:pPr>
              <w:pStyle w:val="TA1"/>
              <w:jc w:val="right"/>
              <w:rPr>
                <w:rFonts w:eastAsiaTheme="minorEastAsia"/>
              </w:rPr>
            </w:pPr>
            <w:r>
              <w:t>8</w:t>
            </w:r>
          </w:p>
        </w:tc>
        <w:tc>
          <w:tcPr>
            <w:tcW w:w="5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D34029A" w14:textId="77777777" w:rsidR="005D07A6" w:rsidRDefault="00F42774">
            <w:pPr>
              <w:pStyle w:val="TA1"/>
              <w:jc w:val="right"/>
              <w:rPr>
                <w:rFonts w:eastAsiaTheme="minorEastAsia"/>
              </w:rPr>
            </w:pPr>
            <w:r>
              <w:t>10</w:t>
            </w:r>
          </w:p>
        </w:tc>
        <w:tc>
          <w:tcPr>
            <w:tcW w:w="5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F549CEB" w14:textId="77777777" w:rsidR="005D07A6" w:rsidRDefault="00F42774">
            <w:pPr>
              <w:pStyle w:val="TA1"/>
              <w:jc w:val="right"/>
              <w:rPr>
                <w:rFonts w:eastAsiaTheme="minorEastAsia"/>
              </w:rPr>
            </w:pPr>
            <w:r>
              <w:t>12</w:t>
            </w:r>
          </w:p>
        </w:tc>
        <w:tc>
          <w:tcPr>
            <w:tcW w:w="5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C14CE71" w14:textId="77777777" w:rsidR="005D07A6" w:rsidRDefault="00F42774">
            <w:pPr>
              <w:pStyle w:val="TA1"/>
              <w:jc w:val="right"/>
              <w:rPr>
                <w:rFonts w:eastAsiaTheme="minorEastAsia"/>
              </w:rPr>
            </w:pPr>
            <w:r>
              <w:t>10</w:t>
            </w:r>
          </w:p>
        </w:tc>
        <w:tc>
          <w:tcPr>
            <w:tcW w:w="8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540B48B" w14:textId="77777777" w:rsidR="005D07A6" w:rsidRDefault="005D07A6"/>
        </w:tc>
        <w:tc>
          <w:tcPr>
            <w:tcW w:w="8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E5B1D20" w14:textId="77777777" w:rsidR="005D07A6" w:rsidRDefault="00F42774">
            <w:pPr>
              <w:pStyle w:val="TA1"/>
              <w:jc w:val="right"/>
              <w:rPr>
                <w:rFonts w:eastAsiaTheme="minorEastAsia"/>
              </w:rPr>
            </w:pPr>
            <w:r>
              <w:t>10</w:t>
            </w:r>
          </w:p>
        </w:tc>
      </w:tr>
      <w:tr w:rsidR="005D07A6" w14:paraId="75B079AD" w14:textId="77777777">
        <w:tc>
          <w:tcPr>
            <w:tcW w:w="11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BA500A7" w14:textId="77777777" w:rsidR="005D07A6" w:rsidRDefault="00F42774">
            <w:pPr>
              <w:pStyle w:val="TA1"/>
              <w:rPr>
                <w:rFonts w:eastAsiaTheme="minorEastAsia"/>
              </w:rPr>
            </w:pPr>
            <w:r>
              <w:t>X – Moyenne</w:t>
            </w:r>
          </w:p>
        </w:tc>
        <w:tc>
          <w:tcPr>
            <w:tcW w:w="5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416E48D" w14:textId="77777777" w:rsidR="005D07A6" w:rsidRDefault="00F42774">
            <w:pPr>
              <w:pStyle w:val="TA1"/>
              <w:jc w:val="right"/>
              <w:rPr>
                <w:rFonts w:eastAsiaTheme="minorEastAsia"/>
              </w:rPr>
            </w:pPr>
            <w:r>
              <w:t>0</w:t>
            </w:r>
          </w:p>
        </w:tc>
        <w:tc>
          <w:tcPr>
            <w:tcW w:w="5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D4AE5EA" w14:textId="77777777" w:rsidR="005D07A6" w:rsidRDefault="00F42774">
            <w:pPr>
              <w:pStyle w:val="TA1"/>
              <w:jc w:val="right"/>
              <w:rPr>
                <w:rFonts w:eastAsiaTheme="minorEastAsia"/>
              </w:rPr>
            </w:pPr>
            <w:r>
              <w:t>– 2</w:t>
            </w:r>
          </w:p>
        </w:tc>
        <w:tc>
          <w:tcPr>
            <w:tcW w:w="5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D63230B" w14:textId="77777777" w:rsidR="005D07A6" w:rsidRDefault="00F42774">
            <w:pPr>
              <w:pStyle w:val="TA1"/>
              <w:jc w:val="right"/>
              <w:rPr>
                <w:rFonts w:eastAsiaTheme="minorEastAsia"/>
              </w:rPr>
            </w:pPr>
            <w:r>
              <w:t>0</w:t>
            </w:r>
          </w:p>
        </w:tc>
        <w:tc>
          <w:tcPr>
            <w:tcW w:w="5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F441916" w14:textId="77777777" w:rsidR="005D07A6" w:rsidRDefault="00F42774">
            <w:pPr>
              <w:pStyle w:val="TA1"/>
              <w:jc w:val="right"/>
              <w:rPr>
                <w:rFonts w:eastAsiaTheme="minorEastAsia"/>
              </w:rPr>
            </w:pPr>
            <w:r>
              <w:t>2</w:t>
            </w:r>
          </w:p>
        </w:tc>
        <w:tc>
          <w:tcPr>
            <w:tcW w:w="5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28354C1" w14:textId="77777777" w:rsidR="005D07A6" w:rsidRDefault="00F42774">
            <w:pPr>
              <w:pStyle w:val="TA1"/>
              <w:jc w:val="right"/>
              <w:rPr>
                <w:rFonts w:eastAsiaTheme="minorEastAsia"/>
              </w:rPr>
            </w:pPr>
            <w:r>
              <w:t>0</w:t>
            </w:r>
          </w:p>
        </w:tc>
        <w:tc>
          <w:tcPr>
            <w:tcW w:w="8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3576261" w14:textId="77777777" w:rsidR="005D07A6" w:rsidRDefault="00F42774">
            <w:pPr>
              <w:pStyle w:val="TA1"/>
              <w:jc w:val="right"/>
              <w:rPr>
                <w:rFonts w:eastAsiaTheme="minorEastAsia"/>
              </w:rPr>
            </w:pPr>
            <w:r>
              <w:t>0</w:t>
            </w:r>
          </w:p>
        </w:tc>
        <w:tc>
          <w:tcPr>
            <w:tcW w:w="8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A65FD3A" w14:textId="77777777" w:rsidR="005D07A6" w:rsidRDefault="005D07A6"/>
        </w:tc>
      </w:tr>
      <w:tr w:rsidR="005D07A6" w14:paraId="4FAC2A37" w14:textId="77777777">
        <w:tc>
          <w:tcPr>
            <w:tcW w:w="11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E38D95D" w14:textId="77777777" w:rsidR="005D07A6" w:rsidRDefault="00F42774">
            <w:pPr>
              <w:pStyle w:val="TA1"/>
              <w:rPr>
                <w:rFonts w:eastAsiaTheme="minorEastAsia"/>
              </w:rPr>
            </w:pPr>
            <w:r>
              <w:t>(X – Moyenne)</w:t>
            </w:r>
            <w:r>
              <w:rPr>
                <w:vertAlign w:val="superscript"/>
              </w:rPr>
              <w:t>2</w:t>
            </w:r>
          </w:p>
        </w:tc>
        <w:tc>
          <w:tcPr>
            <w:tcW w:w="5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5F76D79" w14:textId="77777777" w:rsidR="005D07A6" w:rsidRDefault="00F42774">
            <w:pPr>
              <w:pStyle w:val="TA1"/>
              <w:jc w:val="right"/>
              <w:rPr>
                <w:rFonts w:eastAsiaTheme="minorEastAsia"/>
              </w:rPr>
            </w:pPr>
            <w:r>
              <w:t>0</w:t>
            </w:r>
          </w:p>
        </w:tc>
        <w:tc>
          <w:tcPr>
            <w:tcW w:w="5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02F86A2" w14:textId="77777777" w:rsidR="005D07A6" w:rsidRDefault="00F42774">
            <w:pPr>
              <w:pStyle w:val="TA1"/>
              <w:jc w:val="right"/>
              <w:rPr>
                <w:rFonts w:eastAsiaTheme="minorEastAsia"/>
              </w:rPr>
            </w:pPr>
            <w:r>
              <w:t>4</w:t>
            </w:r>
          </w:p>
        </w:tc>
        <w:tc>
          <w:tcPr>
            <w:tcW w:w="5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A4CE039" w14:textId="77777777" w:rsidR="005D07A6" w:rsidRDefault="00F42774">
            <w:pPr>
              <w:pStyle w:val="TA1"/>
              <w:jc w:val="right"/>
              <w:rPr>
                <w:rFonts w:eastAsiaTheme="minorEastAsia"/>
              </w:rPr>
            </w:pPr>
            <w:r>
              <w:t>0</w:t>
            </w:r>
          </w:p>
        </w:tc>
        <w:tc>
          <w:tcPr>
            <w:tcW w:w="5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242CFCA" w14:textId="77777777" w:rsidR="005D07A6" w:rsidRDefault="00F42774">
            <w:pPr>
              <w:pStyle w:val="TA1"/>
              <w:jc w:val="right"/>
              <w:rPr>
                <w:rFonts w:eastAsiaTheme="minorEastAsia"/>
              </w:rPr>
            </w:pPr>
            <w:r>
              <w:t>4</w:t>
            </w:r>
          </w:p>
        </w:tc>
        <w:tc>
          <w:tcPr>
            <w:tcW w:w="5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82A2D21" w14:textId="77777777" w:rsidR="005D07A6" w:rsidRDefault="00F42774">
            <w:pPr>
              <w:pStyle w:val="TA1"/>
              <w:jc w:val="right"/>
              <w:rPr>
                <w:rFonts w:eastAsiaTheme="minorEastAsia"/>
              </w:rPr>
            </w:pPr>
            <w:r>
              <w:t>0</w:t>
            </w:r>
          </w:p>
        </w:tc>
        <w:tc>
          <w:tcPr>
            <w:tcW w:w="8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5124666" w14:textId="77777777" w:rsidR="005D07A6" w:rsidRDefault="00F42774">
            <w:pPr>
              <w:pStyle w:val="TA1"/>
              <w:jc w:val="right"/>
              <w:rPr>
                <w:rFonts w:eastAsiaTheme="minorEastAsia"/>
              </w:rPr>
            </w:pPr>
            <w:r>
              <w:t>8</w:t>
            </w:r>
          </w:p>
        </w:tc>
        <w:tc>
          <w:tcPr>
            <w:tcW w:w="8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92370D3" w14:textId="77777777" w:rsidR="005D07A6" w:rsidRDefault="00F42774">
            <w:pPr>
              <w:pStyle w:val="TA1"/>
              <w:jc w:val="right"/>
              <w:rPr>
                <w:rFonts w:eastAsiaTheme="minorEastAsia"/>
              </w:rPr>
            </w:pPr>
            <w:r>
              <w:t>1,6</w:t>
            </w:r>
          </w:p>
        </w:tc>
      </w:tr>
    </w:tbl>
    <w:p w14:paraId="1ADC5879" w14:textId="77777777" w:rsidR="005D07A6" w:rsidRDefault="00F42774">
      <w:pPr>
        <w:pStyle w:val="CT"/>
        <w:rPr>
          <w:rFonts w:eastAsiaTheme="minorEastAsia"/>
        </w:rPr>
      </w:pPr>
      <w:r>
        <w:t xml:space="preserve">L’écart-type du premier groupe est égal à </w:t>
      </w:r>
      <m:oMath>
        <m:rad>
          <m:radPr>
            <m:degHide m:val="1"/>
            <m:ctrlPr>
              <w:rPr>
                <w:rFonts w:ascii="Cambria Math" w:hAnsi="Cambria Math"/>
              </w:rPr>
            </m:ctrlPr>
          </m:radPr>
          <m:deg/>
          <m:e>
            <m:r>
              <w:rPr>
                <w:rFonts w:ascii="Cambria Math" w:hAnsi="Cambria Math"/>
              </w:rPr>
              <m:t>(8</m:t>
            </m:r>
            <m:r>
              <m:rPr>
                <m:nor/>
              </m:rPr>
              <m:t> </m:t>
            </m:r>
            <m:r>
              <w:rPr>
                <w:rFonts w:ascii="Cambria Math" w:hAnsi="Cambria Math"/>
              </w:rPr>
              <m:t>/</m:t>
            </m:r>
            <m:r>
              <m:rPr>
                <m:nor/>
              </m:rPr>
              <m:t> </m:t>
            </m:r>
            <m:r>
              <w:rPr>
                <w:rFonts w:ascii="Cambria Math" w:hAnsi="Cambria Math"/>
              </w:rPr>
              <m:t>5)</m:t>
            </m:r>
          </m:e>
        </m:rad>
      </m:oMath>
      <w:r>
        <w:t> = </w:t>
      </w:r>
      <m:oMath>
        <m:rad>
          <m:radPr>
            <m:degHide m:val="1"/>
            <m:ctrlPr>
              <w:rPr>
                <w:rFonts w:ascii="Cambria Math" w:hAnsi="Cambria Math"/>
              </w:rPr>
            </m:ctrlPr>
          </m:radPr>
          <m:deg/>
          <m:e>
            <m:r>
              <m:rPr>
                <m:sty m:val="p"/>
              </m:rPr>
              <w:rPr>
                <w:rFonts w:ascii="Cambria Math" w:hAnsi="Cambria Math"/>
              </w:rPr>
              <m:t>1,6</m:t>
            </m:r>
          </m:e>
        </m:rad>
      </m:oMath>
      <w:r>
        <w:t> = 1,26.</w:t>
      </w:r>
    </w:p>
    <w:p w14:paraId="123AE14B" w14:textId="77777777" w:rsidR="005D07A6" w:rsidRDefault="00F42774">
      <w:pPr>
        <w:pStyle w:val="CT"/>
      </w:pPr>
      <w:r>
        <w:t>En procédant de la même manière, on obtient l’écart-type du second groupe = </w:t>
      </w:r>
      <m:oMath>
        <m:rad>
          <m:radPr>
            <m:degHide m:val="1"/>
            <m:ctrlPr>
              <w:rPr>
                <w:rFonts w:ascii="Cambria Math" w:hAnsi="Cambria Math"/>
              </w:rPr>
            </m:ctrlPr>
          </m:radPr>
          <m:deg/>
          <m:e>
            <m:r>
              <m:rPr>
                <m:sty m:val="p"/>
              </m:rPr>
              <w:rPr>
                <w:rFonts w:ascii="Cambria Math" w:hAnsi="Cambria Math"/>
              </w:rPr>
              <m:t>35,6</m:t>
            </m:r>
          </m:e>
        </m:rad>
      </m:oMath>
      <w:r>
        <w:t> = 5,97.</w:t>
      </w:r>
    </w:p>
    <w:p w14:paraId="77E1AAB9" w14:textId="77777777" w:rsidR="005D07A6" w:rsidRDefault="00F42774">
      <w:pPr>
        <w:pStyle w:val="CT"/>
      </w:pPr>
      <w:r>
        <w:t>On a calculé ainsi les deux indicateurs de dispersion, et sans surprise, on constate que la dispersion des notes est beaucoup plus faible dans le premier groupe que dans le second. Le premier groupe est beaucoup plus homogène que le second.</w:t>
      </w:r>
    </w:p>
    <w:p w14:paraId="275F690E" w14:textId="77777777" w:rsidR="005D07A6" w:rsidRDefault="00F42774">
      <w:pPr>
        <w:pStyle w:val="finfiletr"/>
      </w:pPr>
      <w:r>
        <w:t>Fin Application</w:t>
      </w:r>
    </w:p>
    <w:p w14:paraId="124DFCA7" w14:textId="77777777" w:rsidR="005D07A6" w:rsidRDefault="00F42774">
      <w:pPr>
        <w:pStyle w:val="CTEspDessous"/>
      </w:pPr>
      <w:r>
        <w:t>La moyenne et l’écart-type sont deux indicateurs statistiques de base qu’il est indispensable de maîtriser parfaitement. Il faut savoir les calculer sur sa calculatrice sans hésitation, et surtout les interpréter sans erreur.</w:t>
      </w:r>
    </w:p>
    <w:p w14:paraId="54E25FD8" w14:textId="77777777" w:rsidR="005D07A6" w:rsidRDefault="00F42774">
      <w:pPr>
        <w:pStyle w:val="T4"/>
      </w:pPr>
      <w:r>
        <w:t>II.</w:t>
      </w:r>
      <w:r>
        <w:tab/>
        <w:t>Séries à deux variables</w:t>
      </w:r>
    </w:p>
    <w:p w14:paraId="0B83BEC2" w14:textId="77777777" w:rsidR="005D07A6" w:rsidRDefault="00F42774">
      <w:pPr>
        <w:pStyle w:val="T5"/>
      </w:pPr>
      <w:r>
        <w:t>A.</w:t>
      </w:r>
      <w:r>
        <w:tab/>
        <w:t>la corrélation linéaire</w:t>
      </w:r>
      <w:r>
        <w:rPr>
          <w:highlight w:val="green"/>
        </w:rPr>
        <w:fldChar w:fldCharType="begin"/>
      </w:r>
      <w:r>
        <w:rPr>
          <w:highlight w:val="green"/>
        </w:rPr>
        <w:instrText xml:space="preserve"> XE "</w:instrText>
      </w:r>
      <w:r>
        <w:rPr>
          <w:noProof/>
          <w:highlight w:val="green"/>
        </w:rPr>
        <w:instrText>Corrélation</w:instrText>
      </w:r>
      <w:r>
        <w:rPr>
          <w:highlight w:val="green"/>
        </w:rPr>
        <w:instrText>:</w:instrText>
      </w:r>
      <w:r>
        <w:rPr>
          <w:noProof/>
          <w:highlight w:val="green"/>
        </w:rPr>
        <w:instrText>– linéaire</w:instrText>
      </w:r>
      <w:r>
        <w:rPr>
          <w:highlight w:val="green"/>
        </w:rPr>
        <w:instrText xml:space="preserve">" </w:instrText>
      </w:r>
      <w:r>
        <w:rPr>
          <w:highlight w:val="green"/>
        </w:rPr>
        <w:fldChar w:fldCharType="end"/>
      </w:r>
    </w:p>
    <w:p w14:paraId="5839D16C" w14:textId="77777777" w:rsidR="005D07A6" w:rsidRDefault="00F42774">
      <w:pPr>
        <w:pStyle w:val="CTEspDessous"/>
      </w:pPr>
      <w:r>
        <w:t xml:space="preserve">Le </w:t>
      </w:r>
      <w:r>
        <w:rPr>
          <w:b/>
          <w:bCs/>
        </w:rPr>
        <w:t>coefficient de corrélation linéaire</w:t>
      </w:r>
      <w:r>
        <w:rPr>
          <w:highlight w:val="green"/>
        </w:rPr>
        <w:fldChar w:fldCharType="begin"/>
      </w:r>
      <w:r>
        <w:rPr>
          <w:highlight w:val="green"/>
        </w:rPr>
        <w:instrText xml:space="preserve"> XE "</w:instrText>
      </w:r>
      <w:r>
        <w:rPr>
          <w:noProof/>
          <w:highlight w:val="green"/>
        </w:rPr>
        <w:instrText>Coefficient</w:instrText>
      </w:r>
      <w:r>
        <w:rPr>
          <w:highlight w:val="green"/>
        </w:rPr>
        <w:instrText>:</w:instrText>
      </w:r>
      <w:r>
        <w:rPr>
          <w:noProof/>
          <w:highlight w:val="green"/>
        </w:rPr>
        <w:instrText>– de corrélation linéaire</w:instrText>
      </w:r>
      <w:r>
        <w:rPr>
          <w:highlight w:val="green"/>
        </w:rPr>
        <w:instrText xml:space="preserve">" </w:instrText>
      </w:r>
      <w:r>
        <w:rPr>
          <w:highlight w:val="green"/>
        </w:rPr>
        <w:fldChar w:fldCharType="end"/>
      </w:r>
      <w:r>
        <w:t xml:space="preserve"> mesure l’intensité de la liaison fonctionnelle (c’est-à-dire le lien mathématique) qui existe entre deux variables.</w:t>
      </w:r>
    </w:p>
    <w:p w14:paraId="3D23F7DF" w14:textId="77777777" w:rsidR="005D07A6" w:rsidRDefault="00F42774">
      <w:pPr>
        <w:pStyle w:val="CTEspDessous"/>
      </w:pPr>
      <w:r>
        <w:t xml:space="preserve">Si l’on appelle r le </w:t>
      </w:r>
      <w:r>
        <w:rPr>
          <w:b/>
          <w:bCs/>
        </w:rPr>
        <w:t>coefficient de corrélation</w:t>
      </w:r>
      <w:r>
        <w:rPr>
          <w:highlight w:val="green"/>
        </w:rPr>
        <w:fldChar w:fldCharType="begin"/>
      </w:r>
      <w:r>
        <w:rPr>
          <w:highlight w:val="green"/>
        </w:rPr>
        <w:instrText xml:space="preserve"> XE "</w:instrText>
      </w:r>
      <w:r>
        <w:rPr>
          <w:noProof/>
          <w:highlight w:val="green"/>
        </w:rPr>
        <w:instrText>Coefficient</w:instrText>
      </w:r>
      <w:r>
        <w:rPr>
          <w:highlight w:val="green"/>
        </w:rPr>
        <w:instrText>:</w:instrText>
      </w:r>
      <w:r>
        <w:rPr>
          <w:noProof/>
          <w:highlight w:val="green"/>
        </w:rPr>
        <w:instrText>– de corrélation</w:instrText>
      </w:r>
      <w:r>
        <w:rPr>
          <w:highlight w:val="green"/>
        </w:rPr>
        <w:instrText xml:space="preserve">" </w:instrText>
      </w:r>
      <w:r>
        <w:rPr>
          <w:highlight w:val="green"/>
        </w:rPr>
        <w:fldChar w:fldCharType="end"/>
      </w:r>
      <w:r>
        <w:t>, alors on admettra :</w:t>
      </w:r>
    </w:p>
    <w:p w14:paraId="27E90579" w14:textId="77777777" w:rsidR="005D07A6" w:rsidRDefault="00F42774">
      <w:pPr>
        <w:pStyle w:val="Formule"/>
      </w:pPr>
      <m:oMathPara>
        <m:oMath>
          <m:r>
            <w:rPr>
              <w:rFonts w:ascii="Cambria Math" w:hAnsi="Cambria Math"/>
            </w:rPr>
            <m:t>r=</m:t>
          </m:r>
          <m:f>
            <m:fPr>
              <m:ctrlPr>
                <w:rPr>
                  <w:rFonts w:ascii="Cambria Math" w:hAnsi="Cambria Math"/>
                </w:rPr>
              </m:ctrlPr>
            </m:fPr>
            <m:num>
              <m:r>
                <m:rPr>
                  <m:nor/>
                </m:rPr>
                <m:t>cov</m:t>
              </m:r>
              <m:r>
                <w:rPr>
                  <w:rFonts w:ascii="Cambria Math" w:hAnsi="Cambria Math"/>
                </w:rPr>
                <m:t>(X,Y)</m:t>
              </m:r>
            </m:num>
            <m:den>
              <m:r>
                <w:rPr>
                  <w:rFonts w:ascii="Cambria Math" w:hAnsi="Cambria Math"/>
                </w:rPr>
                <m:t>σ(X)×σ(Y)</m:t>
              </m:r>
            </m:den>
          </m:f>
          <m:r>
            <w:rPr>
              <w:rFonts w:ascii="Cambria Math" w:hAnsi="Cambria Math"/>
            </w:rPr>
            <m:t>=</m:t>
          </m:r>
          <m:f>
            <m:fPr>
              <m:ctrlPr>
                <w:rPr>
                  <w:rFonts w:ascii="Cambria Math" w:hAnsi="Cambria Math"/>
                </w:rPr>
              </m:ctrlPr>
            </m:fPr>
            <m:num>
              <m:f>
                <m:fPr>
                  <m:ctrlPr>
                    <w:rPr>
                      <w:rFonts w:ascii="Cambria Math" w:hAnsi="Cambria Math"/>
                    </w:rPr>
                  </m:ctrlPr>
                </m:fPr>
                <m:num>
                  <m:nary>
                    <m:naryPr>
                      <m:chr m:val="∑"/>
                      <m:limLoc m:val="subSup"/>
                      <m:grow m:val="1"/>
                      <m:subHide m:val="1"/>
                      <m:ctrlPr>
                        <w:rPr>
                          <w:rFonts w:ascii="Cambria Math" w:hAnsi="Cambria Math"/>
                        </w:rPr>
                      </m:ctrlPr>
                    </m:naryPr>
                    <m:sub/>
                    <m:sup/>
                    <m:e/>
                  </m:nary>
                  <m:sSub>
                    <m:sSubPr>
                      <m:ctrlPr>
                        <w:rPr>
                          <w:rFonts w:ascii="Cambria Math" w:hAnsi="Cambria Math"/>
                        </w:rPr>
                      </m:ctrlPr>
                    </m:sSubPr>
                    <m:e>
                      <m:r>
                        <w:rPr>
                          <w:rFonts w:ascii="Cambria Math" w:hAnsi="Cambria Math"/>
                        </w:rPr>
                        <m:t>X</m:t>
                      </m:r>
                    </m:e>
                    <m:sub>
                      <m:r>
                        <w:rPr>
                          <w:rFonts w:ascii="Cambria Math" w:hAnsi="Cambria Math"/>
                        </w:rPr>
                        <m:t>i</m:t>
                      </m:r>
                    </m:sub>
                  </m:sSub>
                  <m:sSub>
                    <m:sSubPr>
                      <m:ctrlPr>
                        <w:rPr>
                          <w:rFonts w:ascii="Cambria Math" w:hAnsi="Cambria Math"/>
                        </w:rPr>
                      </m:ctrlPr>
                    </m:sSubPr>
                    <m:e>
                      <m:r>
                        <w:rPr>
                          <w:rFonts w:ascii="Cambria Math" w:hAnsi="Cambria Math"/>
                        </w:rPr>
                        <m:t>Y</m:t>
                      </m:r>
                    </m:e>
                    <m:sub>
                      <m:r>
                        <w:rPr>
                          <w:rFonts w:ascii="Cambria Math" w:hAnsi="Cambria Math"/>
                        </w:rPr>
                        <m:t>i</m:t>
                      </m:r>
                    </m:sub>
                  </m:sSub>
                </m:num>
                <m:den>
                  <m:r>
                    <w:rPr>
                      <w:rFonts w:ascii="Cambria Math" w:hAnsi="Cambria Math"/>
                    </w:rPr>
                    <m:t>N</m:t>
                  </m:r>
                </m:den>
              </m:f>
              <m:r>
                <w:rPr>
                  <w:rFonts w:ascii="Cambria Math" w:hAnsi="Cambria Math"/>
                </w:rPr>
                <m:t>-</m:t>
              </m:r>
              <m:acc>
                <m:accPr>
                  <m:chr m:val="̅"/>
                  <m:ctrlPr>
                    <w:rPr>
                      <w:rFonts w:ascii="Cambria Math" w:hAnsi="Cambria Math"/>
                    </w:rPr>
                  </m:ctrlPr>
                </m:accPr>
                <m:e>
                  <m:r>
                    <w:rPr>
                      <w:rFonts w:ascii="Cambria Math" w:hAnsi="Cambria Math"/>
                    </w:rPr>
                    <m:t>XY</m:t>
                  </m:r>
                </m:e>
              </m:acc>
            </m:num>
            <m:den>
              <m:rad>
                <m:radPr>
                  <m:degHide m:val="1"/>
                  <m:ctrlPr>
                    <w:rPr>
                      <w:rFonts w:ascii="Cambria Math" w:hAnsi="Cambria Math"/>
                    </w:rPr>
                  </m:ctrlPr>
                </m:radPr>
                <m:deg/>
                <m:e>
                  <m:f>
                    <m:fPr>
                      <m:ctrlPr>
                        <w:rPr>
                          <w:rFonts w:ascii="Cambria Math" w:hAnsi="Cambria Math"/>
                        </w:rPr>
                      </m:ctrlPr>
                    </m:fPr>
                    <m:num>
                      <m:nary>
                        <m:naryPr>
                          <m:chr m:val="∑"/>
                          <m:limLoc m:val="subSup"/>
                          <m:grow m:val="1"/>
                          <m:subHide m:val="1"/>
                          <m:ctrlPr>
                            <w:rPr>
                              <w:rFonts w:ascii="Cambria Math" w:hAnsi="Cambria Math"/>
                            </w:rPr>
                          </m:ctrlPr>
                        </m:naryPr>
                        <m:sub/>
                        <m:sup/>
                        <m:e/>
                      </m:nary>
                      <m:sSubSup>
                        <m:sSubSupPr>
                          <m:ctrlPr>
                            <w:rPr>
                              <w:rFonts w:ascii="Cambria Math" w:hAnsi="Cambria Math"/>
                            </w:rPr>
                          </m:ctrlPr>
                        </m:sSubSupPr>
                        <m:e>
                          <m:r>
                            <w:rPr>
                              <w:rFonts w:ascii="Cambria Math" w:hAnsi="Cambria Math"/>
                            </w:rPr>
                            <m:t>X</m:t>
                          </m:r>
                        </m:e>
                        <m:sub>
                          <m:r>
                            <w:rPr>
                              <w:rFonts w:ascii="Cambria Math" w:hAnsi="Cambria Math"/>
                            </w:rPr>
                            <m:t>i</m:t>
                          </m:r>
                        </m:sub>
                        <m:sup>
                          <m:r>
                            <w:rPr>
                              <w:rFonts w:ascii="Cambria Math" w:hAnsi="Cambria Math"/>
                            </w:rPr>
                            <m:t>2</m:t>
                          </m:r>
                        </m:sup>
                      </m:sSubSup>
                    </m:num>
                    <m:den>
                      <m:r>
                        <w:rPr>
                          <w:rFonts w:ascii="Cambria Math" w:hAnsi="Cambria Math"/>
                        </w:rPr>
                        <m:t>N</m:t>
                      </m:r>
                    </m:den>
                  </m:f>
                  <m:r>
                    <w:rPr>
                      <w:rFonts w:ascii="Cambria Math" w:hAnsi="Cambria Math"/>
                    </w:rPr>
                    <m:t>-</m:t>
                  </m:r>
                  <m:sSup>
                    <m:sSupPr>
                      <m:ctrlPr>
                        <w:rPr>
                          <w:rFonts w:ascii="Cambria Math" w:hAnsi="Cambria Math"/>
                        </w:rPr>
                      </m:ctrlPr>
                    </m:sSupPr>
                    <m:e>
                      <m:acc>
                        <m:accPr>
                          <m:chr m:val="̅"/>
                          <m:ctrlPr>
                            <w:rPr>
                              <w:rFonts w:ascii="Cambria Math" w:hAnsi="Cambria Math"/>
                            </w:rPr>
                          </m:ctrlPr>
                        </m:accPr>
                        <m:e>
                          <m:r>
                            <w:rPr>
                              <w:rFonts w:ascii="Cambria Math" w:hAnsi="Cambria Math"/>
                            </w:rPr>
                            <m:t>X</m:t>
                          </m:r>
                        </m:e>
                      </m:acc>
                    </m:e>
                    <m:sup>
                      <m:r>
                        <w:rPr>
                          <w:rFonts w:ascii="Cambria Math" w:hAnsi="Cambria Math"/>
                        </w:rPr>
                        <m:t>2</m:t>
                      </m:r>
                    </m:sup>
                  </m:sSup>
                </m:e>
              </m:rad>
              <m:r>
                <m:rPr>
                  <m:nor/>
                </m:rPr>
                <m:t> </m:t>
              </m:r>
              <m:rad>
                <m:radPr>
                  <m:degHide m:val="1"/>
                  <m:ctrlPr>
                    <w:rPr>
                      <w:rFonts w:ascii="Cambria Math" w:hAnsi="Cambria Math"/>
                    </w:rPr>
                  </m:ctrlPr>
                </m:radPr>
                <m:deg/>
                <m:e>
                  <m:f>
                    <m:fPr>
                      <m:ctrlPr>
                        <w:rPr>
                          <w:rFonts w:ascii="Cambria Math" w:hAnsi="Cambria Math"/>
                        </w:rPr>
                      </m:ctrlPr>
                    </m:fPr>
                    <m:num>
                      <m:nary>
                        <m:naryPr>
                          <m:chr m:val="∑"/>
                          <m:limLoc m:val="subSup"/>
                          <m:grow m:val="1"/>
                          <m:subHide m:val="1"/>
                          <m:ctrlPr>
                            <w:rPr>
                              <w:rFonts w:ascii="Cambria Math" w:hAnsi="Cambria Math"/>
                            </w:rPr>
                          </m:ctrlPr>
                        </m:naryPr>
                        <m:sub/>
                        <m:sup/>
                        <m:e/>
                      </m:nary>
                      <m:sSubSup>
                        <m:sSubSupPr>
                          <m:ctrlPr>
                            <w:rPr>
                              <w:rFonts w:ascii="Cambria Math" w:hAnsi="Cambria Math"/>
                            </w:rPr>
                          </m:ctrlPr>
                        </m:sSubSupPr>
                        <m:e>
                          <m:r>
                            <w:rPr>
                              <w:rFonts w:ascii="Cambria Math" w:hAnsi="Cambria Math"/>
                            </w:rPr>
                            <m:t>Y</m:t>
                          </m:r>
                        </m:e>
                        <m:sub>
                          <m:r>
                            <w:rPr>
                              <w:rFonts w:ascii="Cambria Math" w:hAnsi="Cambria Math"/>
                            </w:rPr>
                            <m:t>i</m:t>
                          </m:r>
                        </m:sub>
                        <m:sup>
                          <m:r>
                            <w:rPr>
                              <w:rFonts w:ascii="Cambria Math" w:hAnsi="Cambria Math"/>
                            </w:rPr>
                            <m:t>2</m:t>
                          </m:r>
                        </m:sup>
                      </m:sSubSup>
                    </m:num>
                    <m:den>
                      <m:r>
                        <w:rPr>
                          <w:rFonts w:ascii="Cambria Math" w:hAnsi="Cambria Math"/>
                        </w:rPr>
                        <m:t>N</m:t>
                      </m:r>
                    </m:den>
                  </m:f>
                  <m:r>
                    <w:rPr>
                      <w:rFonts w:ascii="Cambria Math" w:hAnsi="Cambria Math"/>
                    </w:rPr>
                    <m:t>-</m:t>
                  </m:r>
                  <m:sSup>
                    <m:sSupPr>
                      <m:ctrlPr>
                        <w:rPr>
                          <w:rFonts w:ascii="Cambria Math" w:hAnsi="Cambria Math"/>
                        </w:rPr>
                      </m:ctrlPr>
                    </m:sSupPr>
                    <m:e>
                      <m:acc>
                        <m:accPr>
                          <m:chr m:val="̅"/>
                          <m:ctrlPr>
                            <w:rPr>
                              <w:rFonts w:ascii="Cambria Math" w:hAnsi="Cambria Math"/>
                            </w:rPr>
                          </m:ctrlPr>
                        </m:accPr>
                        <m:e>
                          <m:r>
                            <w:rPr>
                              <w:rFonts w:ascii="Cambria Math" w:hAnsi="Cambria Math"/>
                            </w:rPr>
                            <m:t>Y</m:t>
                          </m:r>
                        </m:e>
                      </m:acc>
                    </m:e>
                    <m:sup>
                      <m:r>
                        <w:rPr>
                          <w:rFonts w:ascii="Cambria Math" w:hAnsi="Cambria Math"/>
                        </w:rPr>
                        <m:t>2</m:t>
                      </m:r>
                    </m:sup>
                  </m:sSup>
                </m:e>
              </m:rad>
            </m:den>
          </m:f>
        </m:oMath>
      </m:oMathPara>
    </w:p>
    <w:p w14:paraId="3183B62B" w14:textId="77777777" w:rsidR="005D07A6" w:rsidRDefault="00F42774">
      <w:pPr>
        <w:pStyle w:val="debutfilet"/>
      </w:pPr>
      <w:r>
        <w:t>Attention</w:t>
      </w:r>
    </w:p>
    <w:p w14:paraId="24F066D7" w14:textId="77777777" w:rsidR="005D07A6" w:rsidRDefault="00F42774">
      <w:pPr>
        <w:pStyle w:val="LibelleRubrique"/>
      </w:pPr>
      <w:r>
        <w:t>Attention</w:t>
      </w:r>
    </w:p>
    <w:p w14:paraId="35A60A11" w14:textId="77777777" w:rsidR="005D07A6" w:rsidRDefault="00F42774">
      <w:pPr>
        <w:pStyle w:val="CT"/>
      </w:pPr>
      <w:r>
        <w:t>Soyez vigilants à l’ordre de la saisie sur votre calculatrice. Saisissez les couples (X</w:t>
      </w:r>
      <w:r>
        <w:rPr>
          <w:vertAlign w:val="subscript"/>
        </w:rPr>
        <w:t>i</w:t>
      </w:r>
      <w:r>
        <w:t> ; Y</w:t>
      </w:r>
      <w:r>
        <w:rPr>
          <w:vertAlign w:val="subscript"/>
        </w:rPr>
        <w:t>i</w:t>
      </w:r>
      <w:r>
        <w:t>).</w:t>
      </w:r>
    </w:p>
    <w:p w14:paraId="3DDCFE59" w14:textId="77777777" w:rsidR="005D07A6" w:rsidRDefault="00F42774">
      <w:pPr>
        <w:pStyle w:val="finfilet"/>
      </w:pPr>
      <w:r>
        <w:lastRenderedPageBreak/>
        <w:t>Fin Attention</w:t>
      </w:r>
    </w:p>
    <w:p w14:paraId="621683CE" w14:textId="77777777" w:rsidR="005D07A6" w:rsidRDefault="00F42774">
      <w:pPr>
        <w:pStyle w:val="CT"/>
      </w:pPr>
      <w:r>
        <w:t>Un coefficient de corrélation linéaire est toujours compris entre [– 1 ; 1] et est du signe de a.</w:t>
      </w:r>
    </w:p>
    <w:p w14:paraId="14CB701F" w14:textId="77777777" w:rsidR="005D07A6" w:rsidRDefault="00F42774">
      <w:pPr>
        <w:pStyle w:val="CT"/>
      </w:pPr>
      <w:r>
        <w:t>Plus il est proche de – 1 ou de 1, meilleure est la corrélation.</w:t>
      </w:r>
    </w:p>
    <w:p w14:paraId="5B991985" w14:textId="77777777" w:rsidR="005D07A6" w:rsidRDefault="00F42774">
      <w:pPr>
        <w:pStyle w:val="CT"/>
      </w:pPr>
      <w:r>
        <w:t>Si r = 0, les variables sont indépendantes.</w:t>
      </w:r>
    </w:p>
    <w:p w14:paraId="1B74EF5E" w14:textId="77777777" w:rsidR="005D07A6" w:rsidRDefault="00F42774">
      <w:pPr>
        <w:pStyle w:val="CT"/>
      </w:pPr>
      <w:r>
        <w:t xml:space="preserve">Si </w:t>
      </w:r>
      <m:oMath>
        <m:r>
          <m:rPr>
            <m:nor/>
          </m:rPr>
          <m:t> </m:t>
        </m:r>
        <m:r>
          <w:rPr>
            <w:rFonts w:ascii="Cambria Math" w:hAnsi="Cambria Math"/>
          </w:rPr>
          <m:t>|</m:t>
        </m:r>
        <m:r>
          <m:rPr>
            <m:nor/>
          </m:rPr>
          <m:t> </m:t>
        </m:r>
        <m:r>
          <w:rPr>
            <w:rFonts w:ascii="Cambria Math" w:hAnsi="Cambria Math"/>
          </w:rPr>
          <m:t>r</m:t>
        </m:r>
        <m:r>
          <m:rPr>
            <m:nor/>
          </m:rPr>
          <m:t> </m:t>
        </m:r>
        <m:r>
          <w:rPr>
            <w:rFonts w:ascii="Cambria Math" w:hAnsi="Cambria Math"/>
          </w:rPr>
          <m:t>|</m:t>
        </m:r>
        <m:r>
          <m:rPr>
            <m:nor/>
          </m:rPr>
          <m:t> </m:t>
        </m:r>
        <m:r>
          <w:rPr>
            <w:rFonts w:ascii="Cambria Math" w:hAnsi="Cambria Math"/>
          </w:rPr>
          <m:t>=1</m:t>
        </m:r>
      </m:oMath>
      <w:r>
        <w:t>, les variables sont en liaison fonctionnelle linéaire.</w:t>
      </w:r>
    </w:p>
    <w:p w14:paraId="700F99C6" w14:textId="77777777" w:rsidR="005D07A6" w:rsidRDefault="00F42774">
      <w:pPr>
        <w:pStyle w:val="CTEspDessous"/>
      </w:pPr>
      <w:r>
        <w:t>Si r est positif (négatif), les variables évoluent dans le même sens (sens inverse).</w:t>
      </w:r>
    </w:p>
    <w:p w14:paraId="218B3CB7" w14:textId="77777777" w:rsidR="005D07A6" w:rsidRDefault="00F42774">
      <w:pPr>
        <w:pStyle w:val="CTEspDessous"/>
      </w:pPr>
      <w:r>
        <w:t>Une forte corrélation linéaire est le signe d’une liaison fonctionnelle entre X et Y, mais ne démontre pas un lien de cause à effet.</w:t>
      </w:r>
    </w:p>
    <w:p w14:paraId="75A4EEA7" w14:textId="77777777" w:rsidR="005D07A6" w:rsidRDefault="00F42774">
      <w:pPr>
        <w:pStyle w:val="debutfilet"/>
      </w:pPr>
      <w:r>
        <w:t>Remarque</w:t>
      </w:r>
    </w:p>
    <w:p w14:paraId="53646305" w14:textId="77777777" w:rsidR="005D07A6" w:rsidRDefault="00F42774">
      <w:pPr>
        <w:pStyle w:val="LibelleRubrique"/>
      </w:pPr>
      <w:r>
        <w:t>Remarque</w:t>
      </w:r>
    </w:p>
    <w:p w14:paraId="4D379573" w14:textId="77777777" w:rsidR="005D07A6" w:rsidRDefault="00F42774">
      <w:pPr>
        <w:pStyle w:val="CT"/>
      </w:pPr>
      <w:r>
        <w:rPr>
          <w:b/>
          <w:bCs/>
        </w:rPr>
        <w:t>Corrélations sans cause</w:t>
      </w:r>
      <w:r>
        <w:rPr>
          <w:highlight w:val="green"/>
        </w:rPr>
        <w:fldChar w:fldCharType="begin"/>
      </w:r>
      <w:r>
        <w:rPr>
          <w:highlight w:val="green"/>
        </w:rPr>
        <w:instrText xml:space="preserve"> XE "</w:instrText>
      </w:r>
      <w:r>
        <w:rPr>
          <w:noProof/>
          <w:highlight w:val="green"/>
        </w:rPr>
        <w:instrText>Causalité</w:instrText>
      </w:r>
      <w:r>
        <w:rPr>
          <w:highlight w:val="green"/>
        </w:rPr>
        <w:instrText xml:space="preserve">" </w:instrText>
      </w:r>
      <w:r>
        <w:rPr>
          <w:highlight w:val="green"/>
        </w:rPr>
        <w:fldChar w:fldCharType="end"/>
      </w:r>
      <w:r>
        <w:rPr>
          <w:b/>
          <w:bCs/>
        </w:rPr>
        <w:t> :</w:t>
      </w:r>
      <w:r>
        <w:t xml:space="preserve"> on a pu constater de manière très significative, une très forte corrélation entre le nombre de décès par noyade et la consommation de crèmes glacées. Plus précisément, dans un pays, lorsque la consommation de crèmes glacées augmente, les décès par noyade augmentent, et lorsque la consommation de crèmes glacées diminue, le nombre de décès par noyade diminue. Cela signifie-t-il que manger des crèmes glacées augmente le risque de noyade ?</w:t>
      </w:r>
    </w:p>
    <w:p w14:paraId="686D466D" w14:textId="77777777" w:rsidR="005D07A6" w:rsidRDefault="00F42774">
      <w:pPr>
        <w:pStyle w:val="CT"/>
      </w:pPr>
      <w:r>
        <w:t xml:space="preserve">À première vue, ce constat peut sembler très étonnant. Mais c’est un </w:t>
      </w:r>
      <w:r>
        <w:rPr>
          <w:b/>
          <w:bCs/>
        </w:rPr>
        <w:t>exemple type de corrélation sans cause</w:t>
      </w:r>
      <w:r>
        <w:t>. En effet, la consommation de crèmes glacées augmente durant la saison chaude (en été), et c’est également en été que les gens utilisent leur piscine ou vont en vacances au bord de la mer. Les deux observations sont donc corrélées, mais l’une n’est pas la cause de l’autre. Ici, il y a en réalité une cause extérieure commune aux deux phénomènes : la saison.</w:t>
      </w:r>
    </w:p>
    <w:p w14:paraId="4333A1C8" w14:textId="77777777" w:rsidR="005D07A6" w:rsidRDefault="00F42774">
      <w:pPr>
        <w:pStyle w:val="finfilet"/>
      </w:pPr>
      <w:r>
        <w:t>Fin Remarque</w:t>
      </w:r>
    </w:p>
    <w:p w14:paraId="2ED25BDC" w14:textId="77777777" w:rsidR="005D07A6" w:rsidRDefault="00F42774">
      <w:pPr>
        <w:pStyle w:val="CTEspDessous"/>
      </w:pPr>
      <w:r>
        <w:t xml:space="preserve">Dans ce cours, </w:t>
      </w:r>
      <w:r>
        <w:rPr>
          <w:b/>
          <w:bCs/>
        </w:rPr>
        <w:t>le coefficient de corrélation linéaire permet de valider le choix d’une unité d’œuvre</w:t>
      </w:r>
      <w:r>
        <w:t xml:space="preserve"> en mesurant l’intensité de la relation entre le montant des charges indirectes (variable Y) et une unité d’œuvre (variable X).</w:t>
      </w:r>
    </w:p>
    <w:p w14:paraId="571AD778" w14:textId="77777777" w:rsidR="005D07A6" w:rsidRDefault="00F42774">
      <w:pPr>
        <w:pStyle w:val="CTEspDessous"/>
      </w:pPr>
      <w:r>
        <w:t>Ainsi, le choix d’une unité d’œuvre sera fait en calculant le coefficient de relation linéaire entre le montant des charges indirectes et les différentes unités d’œuvre envisagées.</w:t>
      </w:r>
    </w:p>
    <w:p w14:paraId="3BC8FA8C" w14:textId="77777777" w:rsidR="005D07A6" w:rsidRDefault="00F42774">
      <w:pPr>
        <w:pStyle w:val="CTEspDessous"/>
      </w:pPr>
      <w:r>
        <w:t>Le choix sera effectué en retenant l’unité d’œuvre qui est à la fois bonne et la meilleure.</w:t>
      </w:r>
    </w:p>
    <w:p w14:paraId="2840B28A" w14:textId="77777777" w:rsidR="005D07A6" w:rsidRDefault="00F42774">
      <w:pPr>
        <w:pStyle w:val="debutfiletr"/>
      </w:pPr>
      <w:r>
        <w:t>Application _n-10</w:t>
      </w:r>
    </w:p>
    <w:p w14:paraId="550E1E44" w14:textId="77777777" w:rsidR="005D07A6" w:rsidRDefault="00F42774">
      <w:pPr>
        <w:pStyle w:val="CT"/>
      </w:pPr>
      <w:r>
        <w:t>Les chiffres d’affaires réalisés en fonction des dépenses d’animation du mois.</w:t>
      </w:r>
    </w:p>
    <w:tbl>
      <w:tblPr>
        <w:tblW w:w="7683" w:type="dxa"/>
        <w:tblInd w:w="1701" w:type="dxa"/>
        <w:tblLook w:val="04A0" w:firstRow="1" w:lastRow="0" w:firstColumn="1" w:lastColumn="0" w:noHBand="0" w:noVBand="1"/>
      </w:tblPr>
      <w:tblGrid>
        <w:gridCol w:w="3722"/>
        <w:gridCol w:w="661"/>
        <w:gridCol w:w="660"/>
        <w:gridCol w:w="660"/>
        <w:gridCol w:w="660"/>
        <w:gridCol w:w="660"/>
        <w:gridCol w:w="660"/>
      </w:tblGrid>
      <w:tr w:rsidR="005D07A6" w14:paraId="6BE40C8F" w14:textId="77777777">
        <w:tc>
          <w:tcPr>
            <w:tcW w:w="279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9ABF125" w14:textId="77777777" w:rsidR="005D07A6" w:rsidRDefault="00F42774">
            <w:pPr>
              <w:pStyle w:val="TA1"/>
              <w:rPr>
                <w:rFonts w:eastAsiaTheme="minorEastAsia"/>
              </w:rPr>
            </w:pPr>
            <w:r>
              <w:rPr>
                <w:b/>
                <w:bCs/>
              </w:rPr>
              <w:t>Chiffres d’affaires (en milliers euros)</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44ED521" w14:textId="77777777" w:rsidR="005D07A6" w:rsidRDefault="00F42774">
            <w:pPr>
              <w:pStyle w:val="TA1"/>
              <w:jc w:val="center"/>
              <w:rPr>
                <w:rFonts w:eastAsiaTheme="minorEastAsia"/>
              </w:rPr>
            </w:pPr>
            <w:r>
              <w:t>150</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F535824" w14:textId="77777777" w:rsidR="005D07A6" w:rsidRDefault="00F42774">
            <w:pPr>
              <w:pStyle w:val="TA1"/>
              <w:jc w:val="center"/>
              <w:rPr>
                <w:rFonts w:eastAsiaTheme="minorEastAsia"/>
              </w:rPr>
            </w:pPr>
            <w:r>
              <w:t>200</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B690804" w14:textId="77777777" w:rsidR="005D07A6" w:rsidRDefault="00F42774">
            <w:pPr>
              <w:pStyle w:val="TA1"/>
              <w:jc w:val="center"/>
              <w:rPr>
                <w:rFonts w:eastAsiaTheme="minorEastAsia"/>
              </w:rPr>
            </w:pPr>
            <w:r>
              <w:t>180</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7653800" w14:textId="77777777" w:rsidR="005D07A6" w:rsidRDefault="00F42774">
            <w:pPr>
              <w:pStyle w:val="TA1"/>
              <w:jc w:val="center"/>
              <w:rPr>
                <w:rFonts w:eastAsiaTheme="minorEastAsia"/>
              </w:rPr>
            </w:pPr>
            <w:r>
              <w:t>240</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1223AD4" w14:textId="77777777" w:rsidR="005D07A6" w:rsidRDefault="00F42774">
            <w:pPr>
              <w:pStyle w:val="TA1"/>
              <w:jc w:val="center"/>
              <w:rPr>
                <w:rFonts w:eastAsiaTheme="minorEastAsia"/>
              </w:rPr>
            </w:pPr>
            <w:r>
              <w:t>320</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937C741" w14:textId="77777777" w:rsidR="005D07A6" w:rsidRDefault="00F42774">
            <w:pPr>
              <w:pStyle w:val="TA1"/>
              <w:jc w:val="center"/>
              <w:rPr>
                <w:rFonts w:eastAsiaTheme="minorEastAsia"/>
              </w:rPr>
            </w:pPr>
            <w:r>
              <w:t>280</w:t>
            </w:r>
          </w:p>
        </w:tc>
      </w:tr>
      <w:tr w:rsidR="005D07A6" w14:paraId="17D9D6C8" w14:textId="77777777">
        <w:tc>
          <w:tcPr>
            <w:tcW w:w="279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6C2C535" w14:textId="77777777" w:rsidR="005D07A6" w:rsidRDefault="00F42774">
            <w:pPr>
              <w:pStyle w:val="TA1"/>
              <w:rPr>
                <w:rFonts w:eastAsiaTheme="minorEastAsia"/>
              </w:rPr>
            </w:pPr>
            <w:r>
              <w:rPr>
                <w:b/>
                <w:bCs/>
              </w:rPr>
              <w:t>Dépenses d’animation (en milliers euros)</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9145474" w14:textId="77777777" w:rsidR="005D07A6" w:rsidRDefault="00F42774">
            <w:pPr>
              <w:pStyle w:val="TA1"/>
              <w:jc w:val="center"/>
              <w:rPr>
                <w:rFonts w:eastAsiaTheme="minorEastAsia"/>
              </w:rPr>
            </w:pPr>
            <w:r>
              <w:t>1</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BF8A395" w14:textId="77777777" w:rsidR="005D07A6" w:rsidRDefault="00F42774">
            <w:pPr>
              <w:pStyle w:val="TA1"/>
              <w:jc w:val="center"/>
              <w:rPr>
                <w:rFonts w:eastAsiaTheme="minorEastAsia"/>
              </w:rPr>
            </w:pPr>
            <w:r>
              <w:t>2</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CA862DF" w14:textId="77777777" w:rsidR="005D07A6" w:rsidRDefault="00F42774">
            <w:pPr>
              <w:pStyle w:val="TA1"/>
              <w:jc w:val="center"/>
              <w:rPr>
                <w:rFonts w:eastAsiaTheme="minorEastAsia"/>
              </w:rPr>
            </w:pPr>
            <w:r>
              <w:t>2</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2E5D362" w14:textId="77777777" w:rsidR="005D07A6" w:rsidRDefault="00F42774">
            <w:pPr>
              <w:pStyle w:val="TA1"/>
              <w:jc w:val="center"/>
              <w:rPr>
                <w:rFonts w:eastAsiaTheme="minorEastAsia"/>
              </w:rPr>
            </w:pPr>
            <w:r>
              <w:t>2,2</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5EB56A7" w14:textId="77777777" w:rsidR="005D07A6" w:rsidRDefault="00F42774">
            <w:pPr>
              <w:pStyle w:val="TA1"/>
              <w:jc w:val="center"/>
              <w:rPr>
                <w:rFonts w:eastAsiaTheme="minorEastAsia"/>
              </w:rPr>
            </w:pPr>
            <w:r>
              <w:t>2,7</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0682ED7" w14:textId="77777777" w:rsidR="005D07A6" w:rsidRDefault="00F42774">
            <w:pPr>
              <w:pStyle w:val="TA1"/>
              <w:jc w:val="center"/>
              <w:rPr>
                <w:rFonts w:eastAsiaTheme="minorEastAsia"/>
              </w:rPr>
            </w:pPr>
            <w:r>
              <w:t>2,5</w:t>
            </w:r>
          </w:p>
        </w:tc>
      </w:tr>
    </w:tbl>
    <w:p w14:paraId="1B1186FB" w14:textId="77777777" w:rsidR="005D07A6" w:rsidRDefault="00F42774">
      <w:pPr>
        <w:pStyle w:val="CT"/>
        <w:rPr>
          <w:rFonts w:eastAsiaTheme="minorEastAsia"/>
        </w:rPr>
      </w:pPr>
      <w:r>
        <w:t>La saisie des dépenses d’animation (variable X) et des chiffres d’affaires (variable Y) permet d’obtenir, avec les fonctions statistiques d’une calculatrice : r = 0,9006</w:t>
      </w:r>
    </w:p>
    <w:p w14:paraId="0A741A3D" w14:textId="77777777" w:rsidR="005D07A6" w:rsidRDefault="00F42774">
      <w:pPr>
        <w:pStyle w:val="CT"/>
      </w:pPr>
      <w:r>
        <w:t>On constate donc une très forte corrélation (proche de 1). Cela signifie que lorsque les dépenses d’animation augmentent, les ventes augmentent.</w:t>
      </w:r>
    </w:p>
    <w:p w14:paraId="231F3B7A" w14:textId="77777777" w:rsidR="005D07A6" w:rsidRDefault="00F42774">
      <w:pPr>
        <w:pStyle w:val="CT"/>
      </w:pPr>
      <w:r>
        <w:t>Cela signifie-t-il pour autant qu’il y a un lien de causalité ?</w:t>
      </w:r>
    </w:p>
    <w:p w14:paraId="00397C55" w14:textId="77777777" w:rsidR="005D07A6" w:rsidRDefault="00F42774">
      <w:pPr>
        <w:pStyle w:val="CT"/>
      </w:pPr>
      <w:r>
        <w:t>Il n’y a aucune certitude sur ce point. Mais il y a présomption (forte) de lien de causalité. Il semble en effet logique que lorsque l’entreprise engage des animations, cela incite les clients à acheter. Mais il ne peut pas être totalement exclu que d’autres phénomènes puissent concourir à expliquer le niveau des ventes. Tout est affaire d’interprétation.</w:t>
      </w:r>
    </w:p>
    <w:p w14:paraId="38638785" w14:textId="77777777" w:rsidR="005D07A6" w:rsidRDefault="00F42774">
      <w:pPr>
        <w:pStyle w:val="finfiletr"/>
      </w:pPr>
      <w:r>
        <w:t>Fin Application</w:t>
      </w:r>
    </w:p>
    <w:p w14:paraId="5D52CD76" w14:textId="77777777" w:rsidR="005D07A6" w:rsidRDefault="00F42774">
      <w:pPr>
        <w:pStyle w:val="T5"/>
      </w:pPr>
      <w:r>
        <w:t>B.</w:t>
      </w:r>
      <w:r>
        <w:tab/>
        <w:t>les ajustements linéaires ou les ajustements affines</w:t>
      </w:r>
      <w:r>
        <w:rPr>
          <w:highlight w:val="green"/>
        </w:rPr>
        <w:fldChar w:fldCharType="begin"/>
      </w:r>
      <w:r>
        <w:rPr>
          <w:highlight w:val="green"/>
        </w:rPr>
        <w:instrText xml:space="preserve"> XE "</w:instrText>
      </w:r>
      <w:r>
        <w:rPr>
          <w:noProof/>
          <w:highlight w:val="green"/>
        </w:rPr>
        <w:instrText>Ajustement linéaire</w:instrText>
      </w:r>
      <w:r>
        <w:rPr>
          <w:highlight w:val="green"/>
        </w:rPr>
        <w:instrText xml:space="preserve">" </w:instrText>
      </w:r>
      <w:r>
        <w:rPr>
          <w:highlight w:val="green"/>
        </w:rPr>
        <w:fldChar w:fldCharType="end"/>
      </w:r>
    </w:p>
    <w:p w14:paraId="4CA10F6B" w14:textId="77777777" w:rsidR="005D07A6" w:rsidRDefault="00F42774">
      <w:pPr>
        <w:pStyle w:val="CTEspDessous"/>
      </w:pPr>
      <w:r>
        <w:t xml:space="preserve">La </w:t>
      </w:r>
      <w:r>
        <w:rPr>
          <w:b/>
          <w:bCs/>
        </w:rPr>
        <w:t>régression</w:t>
      </w:r>
      <w:r>
        <w:t xml:space="preserve"> </w:t>
      </w:r>
      <w:r>
        <w:rPr>
          <w:highlight w:val="green"/>
        </w:rPr>
        <w:fldChar w:fldCharType="begin"/>
      </w:r>
      <w:r>
        <w:rPr>
          <w:highlight w:val="green"/>
        </w:rPr>
        <w:instrText xml:space="preserve"> XE "</w:instrText>
      </w:r>
      <w:r>
        <w:rPr>
          <w:noProof/>
          <w:highlight w:val="green"/>
        </w:rPr>
        <w:instrText>Régression</w:instrText>
      </w:r>
      <w:r>
        <w:rPr>
          <w:highlight w:val="green"/>
        </w:rPr>
        <w:instrText xml:space="preserve">" </w:instrText>
      </w:r>
      <w:r>
        <w:rPr>
          <w:highlight w:val="green"/>
        </w:rPr>
        <w:fldChar w:fldCharType="end"/>
      </w:r>
      <w:r>
        <w:t xml:space="preserve">a pour objectif d’exprimer les relations qui peuvent exister entre deux variables quantitatives </w:t>
      </w:r>
      <w:r>
        <w:rPr>
          <w:b/>
          <w:bCs/>
        </w:rPr>
        <w:t>pour effectuer des prévisions</w:t>
      </w:r>
      <w:r>
        <w:t>.</w:t>
      </w:r>
    </w:p>
    <w:p w14:paraId="59D956C2" w14:textId="77777777" w:rsidR="005D07A6" w:rsidRDefault="00F42774">
      <w:pPr>
        <w:pStyle w:val="debutfilet"/>
      </w:pPr>
      <w:r>
        <w:t>Remarque</w:t>
      </w:r>
    </w:p>
    <w:p w14:paraId="01E236FC" w14:textId="77777777" w:rsidR="005D07A6" w:rsidRDefault="00F42774">
      <w:pPr>
        <w:pStyle w:val="LibelleRubrique"/>
      </w:pPr>
      <w:r>
        <w:lastRenderedPageBreak/>
        <w:t>Remarque</w:t>
      </w:r>
    </w:p>
    <w:p w14:paraId="5E64013D" w14:textId="77777777" w:rsidR="005D07A6" w:rsidRDefault="00F42774">
      <w:pPr>
        <w:pStyle w:val="CT"/>
      </w:pPr>
      <w:r>
        <w:rPr>
          <w:b/>
          <w:bCs/>
        </w:rPr>
        <w:t>Corrélation ou régression :</w:t>
      </w:r>
      <w:r>
        <w:t xml:space="preserve"> le coefficient de corrélation est calculé uniquement pour répondre à la question binaire « les deux variables varient-elles conjointement ? ». La régression sert à faire des prévisions. Ces deux utilisations sont différentes et complémentaires. Dans les exercices, on calcule un coefficient de corrélation pour juger de la pertinence d’une unité d’œuvre. On utilise un modèle de régression pour faire des prévisions (de ventes, par exemple).</w:t>
      </w:r>
    </w:p>
    <w:p w14:paraId="3D907AFF" w14:textId="77777777" w:rsidR="005D07A6" w:rsidRDefault="00F42774">
      <w:pPr>
        <w:pStyle w:val="finfilet"/>
      </w:pPr>
      <w:r>
        <w:t>Fin Remarque</w:t>
      </w:r>
    </w:p>
    <w:p w14:paraId="6ACB6073" w14:textId="77777777" w:rsidR="005D07A6" w:rsidRDefault="00F42774">
      <w:pPr>
        <w:pStyle w:val="CTEspDessous"/>
      </w:pPr>
      <w:r>
        <w:t>Les régressions (linéaire, exponentielle, logarithmique, puissance) seront présentées plus en détail dans le cours 3. Ici, seule une brève présentation des régressions linéaires est proposée pour introduire le sujet.</w:t>
      </w:r>
    </w:p>
    <w:p w14:paraId="1740177D" w14:textId="77777777" w:rsidR="005D07A6" w:rsidRDefault="00F42774">
      <w:pPr>
        <w:pStyle w:val="debutfilet"/>
      </w:pPr>
      <w:r>
        <w:t>Definition</w:t>
      </w:r>
    </w:p>
    <w:p w14:paraId="10D1C5B1" w14:textId="77777777" w:rsidR="005D07A6" w:rsidRDefault="00F42774">
      <w:pPr>
        <w:pStyle w:val="LibelleRubrique"/>
      </w:pPr>
      <w:r>
        <w:t>Définition</w:t>
      </w:r>
    </w:p>
    <w:p w14:paraId="5A99E261" w14:textId="77777777" w:rsidR="005D07A6" w:rsidRDefault="00F42774">
      <w:pPr>
        <w:pStyle w:val="CT"/>
      </w:pPr>
      <w:r>
        <w:rPr>
          <w:b/>
          <w:bCs/>
          <w:i/>
          <w:iCs/>
          <w:color w:val="FF0000"/>
        </w:rPr>
        <w:t>Ajustement d’une série</w:t>
      </w:r>
      <w:r>
        <w:rPr>
          <w:b/>
          <w:bCs/>
        </w:rPr>
        <w:t> :</w:t>
      </w:r>
      <w:r>
        <w:t xml:space="preserve"> ajuster la série consiste à déterminer une fonction qui représente aussi bien que possible les points du nuage.</w:t>
      </w:r>
    </w:p>
    <w:p w14:paraId="5C8E7D3A" w14:textId="77777777" w:rsidR="005D07A6" w:rsidRDefault="00F42774">
      <w:pPr>
        <w:pStyle w:val="CT"/>
      </w:pPr>
      <w:r>
        <w:t xml:space="preserve">Dans cette fonction, </w:t>
      </w:r>
      <w:r>
        <w:rPr>
          <w:b/>
          <w:bCs/>
        </w:rPr>
        <w:t>Y est la variable à expliquer et X est la variable explicative</w:t>
      </w:r>
      <w:r>
        <w:t>.</w:t>
      </w:r>
    </w:p>
    <w:p w14:paraId="6166F9AD" w14:textId="77777777" w:rsidR="005D07A6" w:rsidRDefault="00F42774">
      <w:pPr>
        <w:pStyle w:val="finfilet"/>
      </w:pPr>
      <w:r>
        <w:t>Fin Definition</w:t>
      </w:r>
    </w:p>
    <w:tbl>
      <w:tblPr>
        <w:tblW w:w="7660" w:type="dxa"/>
        <w:tblInd w:w="1701" w:type="dxa"/>
        <w:tblLook w:val="04A0" w:firstRow="1" w:lastRow="0" w:firstColumn="1" w:lastColumn="0" w:noHBand="0" w:noVBand="1"/>
      </w:tblPr>
      <w:tblGrid>
        <w:gridCol w:w="3313"/>
        <w:gridCol w:w="3313"/>
        <w:gridCol w:w="3313"/>
      </w:tblGrid>
      <w:tr w:rsidR="005D07A6" w14:paraId="5984F655" w14:textId="77777777">
        <w:tc>
          <w:tcPr>
            <w:tcW w:w="2130" w:type="dxa"/>
            <w:tcBorders>
              <w:top w:val="nil"/>
              <w:left w:val="single" w:sz="4" w:space="0" w:color="auto"/>
              <w:bottom w:val="nil"/>
              <w:right w:val="single" w:sz="4" w:space="0" w:color="auto"/>
            </w:tcBorders>
            <w:tcMar>
              <w:top w:w="0" w:type="dxa"/>
              <w:left w:w="2" w:type="dxa"/>
              <w:bottom w:w="0" w:type="dxa"/>
              <w:right w:w="2" w:type="dxa"/>
            </w:tcMar>
            <w:hideMark/>
          </w:tcPr>
          <w:p w14:paraId="4685595C" w14:textId="77777777" w:rsidR="005D07A6" w:rsidRDefault="00F42774">
            <w:pPr>
              <w:pStyle w:val="Tab-CT"/>
              <w:rPr>
                <w:rFonts w:eastAsiaTheme="minorEastAsia"/>
              </w:rPr>
            </w:pPr>
            <w:r>
              <w:rPr>
                <w:noProof/>
              </w:rPr>
              <w:drawing>
                <wp:inline distT="0" distB="0" distL="0" distR="0" wp14:anchorId="39A12BBE" wp14:editId="7717F382">
                  <wp:extent cx="1713124" cy="1103472"/>
                  <wp:effectExtent l="0" t="0" r="1905" b="1905"/>
                  <wp:docPr id="18" name="Image 18" descr="Pas de visualisation pour [UE202526_433_S1_fichiers/UE121S1_006.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as de visualisation pour [UE202526_433_S1_fichiers/UE121S1_006.png] !"/>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713124" cy="1103472"/>
                          </a:xfrm>
                          <a:prstGeom prst="rect">
                            <a:avLst/>
                          </a:prstGeom>
                          <a:noFill/>
                          <a:ln>
                            <a:noFill/>
                          </a:ln>
                        </pic:spPr>
                      </pic:pic>
                    </a:graphicData>
                  </a:graphic>
                </wp:inline>
              </w:drawing>
            </w:r>
            <w:r>
              <w:t>&lt;image&gt;UE121S1_006.png&lt;/image&gt;</w:t>
            </w:r>
          </w:p>
        </w:tc>
        <w:tc>
          <w:tcPr>
            <w:tcW w:w="2175" w:type="dxa"/>
            <w:tcBorders>
              <w:top w:val="nil"/>
              <w:left w:val="single" w:sz="4" w:space="0" w:color="auto"/>
              <w:bottom w:val="nil"/>
              <w:right w:val="single" w:sz="4" w:space="0" w:color="auto"/>
            </w:tcBorders>
            <w:tcMar>
              <w:top w:w="0" w:type="dxa"/>
              <w:left w:w="2" w:type="dxa"/>
              <w:bottom w:w="0" w:type="dxa"/>
              <w:right w:w="2" w:type="dxa"/>
            </w:tcMar>
            <w:hideMark/>
          </w:tcPr>
          <w:p w14:paraId="04C1ED66" w14:textId="77777777" w:rsidR="005D07A6" w:rsidRDefault="00F42774">
            <w:pPr>
              <w:pStyle w:val="Tab-CT"/>
              <w:rPr>
                <w:rFonts w:eastAsiaTheme="minorEastAsia"/>
              </w:rPr>
            </w:pPr>
            <w:r>
              <w:rPr>
                <w:noProof/>
              </w:rPr>
              <w:drawing>
                <wp:inline distT="0" distB="0" distL="0" distR="0" wp14:anchorId="6CE5BA1C" wp14:editId="4421B5FD">
                  <wp:extent cx="1713124" cy="1103472"/>
                  <wp:effectExtent l="0" t="0" r="1905" b="1905"/>
                  <wp:docPr id="19" name="Image 19" descr="Pas de visualisation pour [UE202526_433_S1_fichiers/UE121S1_005.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as de visualisation pour [UE202526_433_S1_fichiers/UE121S1_005.png] !"/>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713124" cy="1103472"/>
                          </a:xfrm>
                          <a:prstGeom prst="rect">
                            <a:avLst/>
                          </a:prstGeom>
                          <a:noFill/>
                          <a:ln>
                            <a:noFill/>
                          </a:ln>
                        </pic:spPr>
                      </pic:pic>
                    </a:graphicData>
                  </a:graphic>
                </wp:inline>
              </w:drawing>
            </w:r>
            <w:r>
              <w:t>&lt;image&gt;UE121S1_005.png&lt;/image&gt;</w:t>
            </w:r>
          </w:p>
        </w:tc>
        <w:tc>
          <w:tcPr>
            <w:tcW w:w="1440" w:type="dxa"/>
            <w:tcBorders>
              <w:top w:val="nil"/>
              <w:left w:val="single" w:sz="4" w:space="0" w:color="auto"/>
              <w:bottom w:val="nil"/>
              <w:right w:val="single" w:sz="4" w:space="0" w:color="auto"/>
            </w:tcBorders>
            <w:tcMar>
              <w:top w:w="0" w:type="dxa"/>
              <w:left w:w="2" w:type="dxa"/>
              <w:bottom w:w="0" w:type="dxa"/>
              <w:right w:w="2" w:type="dxa"/>
            </w:tcMar>
            <w:hideMark/>
          </w:tcPr>
          <w:p w14:paraId="1EBD26C4" w14:textId="77777777" w:rsidR="005D07A6" w:rsidRDefault="00F42774">
            <w:pPr>
              <w:pStyle w:val="Tab-CT"/>
              <w:rPr>
                <w:rFonts w:eastAsiaTheme="minorEastAsia"/>
              </w:rPr>
            </w:pPr>
            <w:r>
              <w:rPr>
                <w:noProof/>
              </w:rPr>
              <w:drawing>
                <wp:inline distT="0" distB="0" distL="0" distR="0" wp14:anchorId="5C4F8173" wp14:editId="7126111C">
                  <wp:extent cx="1054699" cy="896190"/>
                  <wp:effectExtent l="0" t="0" r="0" b="0"/>
                  <wp:docPr id="20" name="Image 20" descr="Pas de visualisation pour [UE202526_433_S1_fichiers/UE121S1_004.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s de visualisation pour [UE202526_433_S1_fichiers/UE121S1_004.png] !"/>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54699" cy="896190"/>
                          </a:xfrm>
                          <a:prstGeom prst="rect">
                            <a:avLst/>
                          </a:prstGeom>
                          <a:noFill/>
                          <a:ln>
                            <a:noFill/>
                          </a:ln>
                        </pic:spPr>
                      </pic:pic>
                    </a:graphicData>
                  </a:graphic>
                </wp:inline>
              </w:drawing>
            </w:r>
            <w:r>
              <w:t>&lt;image&gt;UE121S1_004.png&lt;/image&gt;</w:t>
            </w:r>
          </w:p>
        </w:tc>
      </w:tr>
      <w:tr w:rsidR="005D07A6" w14:paraId="73AC9D71" w14:textId="77777777">
        <w:tc>
          <w:tcPr>
            <w:tcW w:w="2130" w:type="dxa"/>
            <w:tcBorders>
              <w:top w:val="nil"/>
              <w:left w:val="single" w:sz="4" w:space="0" w:color="auto"/>
              <w:bottom w:val="nil"/>
              <w:right w:val="single" w:sz="4" w:space="0" w:color="auto"/>
            </w:tcBorders>
            <w:tcMar>
              <w:top w:w="0" w:type="dxa"/>
              <w:left w:w="2" w:type="dxa"/>
              <w:bottom w:w="0" w:type="dxa"/>
              <w:right w:w="2" w:type="dxa"/>
            </w:tcMar>
            <w:hideMark/>
          </w:tcPr>
          <w:p w14:paraId="5CEAFF82" w14:textId="77777777" w:rsidR="005D07A6" w:rsidRDefault="00F42774">
            <w:pPr>
              <w:pStyle w:val="TA1"/>
              <w:rPr>
                <w:rFonts w:eastAsiaTheme="minorEastAsia"/>
              </w:rPr>
            </w:pPr>
            <w:r>
              <w:rPr>
                <w:b/>
                <w:bCs/>
              </w:rPr>
              <w:t>Ajustement linéaire</w:t>
            </w:r>
          </w:p>
          <w:p w14:paraId="3E58F5E5" w14:textId="77777777" w:rsidR="005D07A6" w:rsidRDefault="00F42774">
            <w:pPr>
              <w:pStyle w:val="TA1"/>
            </w:pPr>
            <w:r>
              <w:t>Y = aX + b</w:t>
            </w:r>
          </w:p>
          <w:p w14:paraId="75DE1998" w14:textId="77777777" w:rsidR="005D07A6" w:rsidRDefault="00F42774">
            <w:pPr>
              <w:pStyle w:val="TA1"/>
            </w:pPr>
            <w:r>
              <w:t>a &gt; 0</w:t>
            </w:r>
          </w:p>
          <w:p w14:paraId="6488E064" w14:textId="77777777" w:rsidR="005D07A6" w:rsidRDefault="00F42774">
            <w:pPr>
              <w:pStyle w:val="TA1"/>
              <w:rPr>
                <w:rFonts w:eastAsiaTheme="minorEastAsia"/>
              </w:rPr>
            </w:pPr>
            <w:r>
              <w:t>Les variables évoluent dans le même sens : si X augmente (diminue), alors Y augmente (diminue).</w:t>
            </w:r>
          </w:p>
        </w:tc>
        <w:tc>
          <w:tcPr>
            <w:tcW w:w="2175" w:type="dxa"/>
            <w:tcBorders>
              <w:top w:val="nil"/>
              <w:left w:val="single" w:sz="4" w:space="0" w:color="auto"/>
              <w:bottom w:val="nil"/>
              <w:right w:val="single" w:sz="4" w:space="0" w:color="auto"/>
            </w:tcBorders>
            <w:tcMar>
              <w:top w:w="0" w:type="dxa"/>
              <w:left w:w="2" w:type="dxa"/>
              <w:bottom w:w="0" w:type="dxa"/>
              <w:right w:w="2" w:type="dxa"/>
            </w:tcMar>
            <w:hideMark/>
          </w:tcPr>
          <w:p w14:paraId="7215460D" w14:textId="77777777" w:rsidR="005D07A6" w:rsidRDefault="00F42774">
            <w:pPr>
              <w:pStyle w:val="TA1"/>
              <w:rPr>
                <w:rFonts w:eastAsiaTheme="minorEastAsia"/>
              </w:rPr>
            </w:pPr>
            <w:r>
              <w:rPr>
                <w:b/>
                <w:bCs/>
              </w:rPr>
              <w:t>Ajustement linéaire</w:t>
            </w:r>
          </w:p>
          <w:p w14:paraId="352D45E0" w14:textId="77777777" w:rsidR="005D07A6" w:rsidRDefault="00F42774">
            <w:pPr>
              <w:pStyle w:val="TA1"/>
            </w:pPr>
            <w:r>
              <w:t>Y = aX + b</w:t>
            </w:r>
          </w:p>
          <w:p w14:paraId="24DE849C" w14:textId="77777777" w:rsidR="005D07A6" w:rsidRDefault="00F42774">
            <w:pPr>
              <w:pStyle w:val="TA1"/>
            </w:pPr>
            <w:r>
              <w:t>a &lt; 0</w:t>
            </w:r>
          </w:p>
          <w:p w14:paraId="07920D2C" w14:textId="77777777" w:rsidR="005D07A6" w:rsidRDefault="00F42774">
            <w:pPr>
              <w:pStyle w:val="TA1"/>
              <w:rPr>
                <w:rFonts w:eastAsiaTheme="minorEastAsia"/>
              </w:rPr>
            </w:pPr>
            <w:r>
              <w:t>Les variables évoluent en sens inverse : si X augmente (diminue), alors Y diminue (augmente).</w:t>
            </w:r>
          </w:p>
        </w:tc>
        <w:tc>
          <w:tcPr>
            <w:tcW w:w="1440" w:type="dxa"/>
            <w:tcBorders>
              <w:top w:val="nil"/>
              <w:left w:val="single" w:sz="4" w:space="0" w:color="auto"/>
              <w:bottom w:val="nil"/>
              <w:right w:val="single" w:sz="4" w:space="0" w:color="auto"/>
            </w:tcBorders>
            <w:tcMar>
              <w:top w:w="0" w:type="dxa"/>
              <w:left w:w="2" w:type="dxa"/>
              <w:bottom w:w="0" w:type="dxa"/>
              <w:right w:w="2" w:type="dxa"/>
            </w:tcMar>
            <w:hideMark/>
          </w:tcPr>
          <w:p w14:paraId="091002D1" w14:textId="77777777" w:rsidR="005D07A6" w:rsidRDefault="00F42774">
            <w:pPr>
              <w:pStyle w:val="TA1"/>
              <w:rPr>
                <w:rFonts w:eastAsiaTheme="minorEastAsia"/>
              </w:rPr>
            </w:pPr>
            <w:r>
              <w:rPr>
                <w:b/>
                <w:bCs/>
              </w:rPr>
              <w:t>Ajustement impossible</w:t>
            </w:r>
          </w:p>
          <w:p w14:paraId="4648B762" w14:textId="77777777" w:rsidR="005D07A6" w:rsidRDefault="00F42774">
            <w:pPr>
              <w:pStyle w:val="TA1"/>
            </w:pPr>
            <w:r>
              <w:t>Absence de liaison :</w:t>
            </w:r>
          </w:p>
          <w:p w14:paraId="6EB011ED" w14:textId="77777777" w:rsidR="005D07A6" w:rsidRDefault="00F42774">
            <w:pPr>
              <w:pStyle w:val="TA1"/>
              <w:rPr>
                <w:rFonts w:eastAsiaTheme="minorEastAsia"/>
              </w:rPr>
            </w:pPr>
            <w:r>
              <w:t>il n’y a pas de fonction qui puisse expliquer le comportement de la variable Y en fonction de la variable X.</w:t>
            </w:r>
          </w:p>
        </w:tc>
      </w:tr>
    </w:tbl>
    <w:p w14:paraId="4020EB11" w14:textId="77777777" w:rsidR="005D07A6" w:rsidRDefault="00F42774">
      <w:pPr>
        <w:pStyle w:val="T6"/>
        <w:rPr>
          <w:rFonts w:eastAsiaTheme="minorEastAsia"/>
        </w:rPr>
      </w:pPr>
      <w:r>
        <w:t>1.</w:t>
      </w:r>
      <w:r>
        <w:tab/>
        <w:t>Détermination de la droite d’ajustement</w:t>
      </w:r>
    </w:p>
    <w:p w14:paraId="49E6BE1F" w14:textId="77777777" w:rsidR="005D07A6" w:rsidRDefault="00F42774">
      <w:pPr>
        <w:pStyle w:val="CT"/>
      </w:pPr>
      <w:r>
        <w:t xml:space="preserve">Une </w:t>
      </w:r>
      <w:r>
        <w:rPr>
          <w:b/>
          <w:bCs/>
        </w:rPr>
        <w:t>droite d’ajustement</w:t>
      </w:r>
      <w:r>
        <w:t xml:space="preserve"> </w:t>
      </w:r>
      <w:r>
        <w:rPr>
          <w:highlight w:val="green"/>
        </w:rPr>
        <w:fldChar w:fldCharType="begin"/>
      </w:r>
      <w:r>
        <w:rPr>
          <w:highlight w:val="green"/>
        </w:rPr>
        <w:instrText xml:space="preserve"> XE "</w:instrText>
      </w:r>
      <w:r>
        <w:rPr>
          <w:noProof/>
          <w:highlight w:val="green"/>
        </w:rPr>
        <w:instrText>Droite d’ajustement</w:instrText>
      </w:r>
      <w:r>
        <w:rPr>
          <w:highlight w:val="green"/>
        </w:rPr>
        <w:instrText xml:space="preserve">" </w:instrText>
      </w:r>
      <w:r>
        <w:rPr>
          <w:highlight w:val="green"/>
        </w:rPr>
        <w:fldChar w:fldCharType="end"/>
      </w:r>
      <w:r>
        <w:t>ne passe pas par tous les points du nuage.</w:t>
      </w:r>
    </w:p>
    <w:p w14:paraId="34188806" w14:textId="77777777" w:rsidR="005D07A6" w:rsidRDefault="00F42774">
      <w:pPr>
        <w:pStyle w:val="CT"/>
      </w:pPr>
      <w:r>
        <w:t>On constate des écarts entre les points observés (ou points du nuage) et les points ajustés (X</w:t>
      </w:r>
      <w:r>
        <w:rPr>
          <w:vertAlign w:val="subscript"/>
        </w:rPr>
        <w:t>i</w:t>
      </w:r>
      <w:r>
        <w:t>, aX</w:t>
      </w:r>
      <w:r>
        <w:rPr>
          <w:vertAlign w:val="subscript"/>
        </w:rPr>
        <w:t>i</w:t>
      </w:r>
      <w:r>
        <w:t xml:space="preserve"> + b) qui résultent de la droite d’ajustement.</w:t>
      </w:r>
    </w:p>
    <w:p w14:paraId="2C272313" w14:textId="77777777" w:rsidR="005D07A6" w:rsidRDefault="00F42774">
      <w:pPr>
        <w:pStyle w:val="CTEspDessous"/>
      </w:pPr>
      <w:r>
        <w:t>La méthode des moindres carrés minimise la somme de ces écarts et détermine le meilleur ajustement.</w:t>
      </w:r>
    </w:p>
    <w:p w14:paraId="74796205" w14:textId="77777777" w:rsidR="005D07A6" w:rsidRDefault="00F42774">
      <w:pPr>
        <w:pStyle w:val="CTEspDessous"/>
      </w:pPr>
      <w:r>
        <w:t>Les valeurs suivantes seront admises :</w:t>
      </w:r>
    </w:p>
    <w:p w14:paraId="6FB25D03" w14:textId="77777777" w:rsidR="005D07A6" w:rsidRDefault="00F42774">
      <w:pPr>
        <w:pStyle w:val="CTEspDessous"/>
      </w:pPr>
      <m:oMath>
        <m:r>
          <w:rPr>
            <w:rFonts w:ascii="Cambria Math" w:hAnsi="Cambria Math"/>
          </w:rPr>
          <m:t>a=</m:t>
        </m:r>
        <m:f>
          <m:fPr>
            <m:ctrlPr>
              <w:rPr>
                <w:rFonts w:ascii="Cambria Math" w:hAnsi="Cambria Math"/>
              </w:rPr>
            </m:ctrlPr>
          </m:fPr>
          <m:num>
            <m:r>
              <m:rPr>
                <m:nor/>
              </m:rPr>
              <m:t>cov</m:t>
            </m:r>
            <m:r>
              <w:rPr>
                <w:rFonts w:ascii="Cambria Math" w:hAnsi="Cambria Math"/>
              </w:rPr>
              <m:t>(X,</m:t>
            </m:r>
            <m:r>
              <m:rPr>
                <m:nor/>
              </m:rPr>
              <m:t> </m:t>
            </m:r>
            <m:r>
              <w:rPr>
                <w:rFonts w:ascii="Cambria Math" w:hAnsi="Cambria Math"/>
              </w:rPr>
              <m:t>Y)</m:t>
            </m:r>
          </m:num>
          <m:den>
            <m:r>
              <w:rPr>
                <w:rFonts w:ascii="Cambria Math" w:hAnsi="Cambria Math"/>
              </w:rPr>
              <m:t>V(X)</m:t>
            </m:r>
          </m:den>
        </m:f>
        <m:r>
          <w:rPr>
            <w:rFonts w:ascii="Cambria Math" w:hAnsi="Cambria Math"/>
          </w:rPr>
          <m:t>=</m:t>
        </m:r>
        <m:f>
          <m:fPr>
            <m:ctrlPr>
              <w:rPr>
                <w:rFonts w:ascii="Cambria Math" w:hAnsi="Cambria Math"/>
              </w:rPr>
            </m:ctrlPr>
          </m:fPr>
          <m:num>
            <m:nary>
              <m:naryPr>
                <m:chr m:val="∑"/>
                <m:limLoc m:val="subSup"/>
                <m:grow m:val="1"/>
                <m:subHide m:val="1"/>
                <m:ctrlPr>
                  <w:rPr>
                    <w:rFonts w:ascii="Cambria Math" w:hAnsi="Cambria Math"/>
                  </w:rPr>
                </m:ctrlPr>
              </m:naryPr>
              <m:sub/>
              <m:sup/>
              <m:e/>
            </m:nary>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rPr>
                </m:ctrlPr>
              </m:accPr>
              <m:e>
                <m:r>
                  <w:rPr>
                    <w:rFonts w:ascii="Cambria Math" w:hAnsi="Cambria Math"/>
                  </w:rPr>
                  <m:t>X</m:t>
                </m:r>
              </m:e>
            </m:acc>
            <m: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i</m:t>
                </m:r>
              </m:sub>
            </m:sSub>
            <m:r>
              <w:rPr>
                <w:rFonts w:ascii="Cambria Math" w:hAnsi="Cambria Math"/>
              </w:rPr>
              <m:t>-</m:t>
            </m:r>
            <m:acc>
              <m:accPr>
                <m:chr m:val="̅"/>
                <m:ctrlPr>
                  <w:rPr>
                    <w:rFonts w:ascii="Cambria Math" w:hAnsi="Cambria Math"/>
                  </w:rPr>
                </m:ctrlPr>
              </m:accPr>
              <m:e>
                <m:r>
                  <w:rPr>
                    <w:rFonts w:ascii="Cambria Math" w:hAnsi="Cambria Math"/>
                  </w:rPr>
                  <m:t>Y</m:t>
                </m:r>
              </m:e>
            </m:acc>
            <m:r>
              <w:rPr>
                <w:rFonts w:ascii="Cambria Math" w:hAnsi="Cambria Math"/>
              </w:rPr>
              <m:t>)</m:t>
            </m:r>
          </m:num>
          <m:den>
            <m:nary>
              <m:naryPr>
                <m:chr m:val="∑"/>
                <m:limLoc m:val="subSup"/>
                <m:grow m:val="1"/>
                <m:subHide m:val="1"/>
                <m:ctrlPr>
                  <w:rPr>
                    <w:rFonts w:ascii="Cambria Math" w:hAnsi="Cambria Math"/>
                  </w:rPr>
                </m:ctrlPr>
              </m:naryPr>
              <m:sub/>
              <m:sup/>
              <m:e/>
            </m:nary>
            <m:sSup>
              <m:sSupPr>
                <m:ctrlPr>
                  <w:rPr>
                    <w:rFonts w:ascii="Cambria Math" w:hAnsi="Cambria Math"/>
                  </w:rPr>
                </m:ctrlPr>
              </m:sSupPr>
              <m:e>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rPr>
                    </m:ctrlPr>
                  </m:accPr>
                  <m:e>
                    <m:r>
                      <w:rPr>
                        <w:rFonts w:ascii="Cambria Math" w:hAnsi="Cambria Math"/>
                      </w:rPr>
                      <m:t>X</m:t>
                    </m:r>
                  </m:e>
                </m:acc>
                <m:r>
                  <w:rPr>
                    <w:rFonts w:ascii="Cambria Math" w:hAnsi="Cambria Math"/>
                  </w:rPr>
                  <m:t>)</m:t>
                </m:r>
              </m:e>
              <m:sup>
                <m:r>
                  <w:rPr>
                    <w:rFonts w:ascii="Cambria Math" w:hAnsi="Cambria Math"/>
                  </w:rPr>
                  <m:t>2</m:t>
                </m:r>
              </m:sup>
            </m:sSup>
          </m:den>
        </m:f>
        <m:r>
          <w:rPr>
            <w:rFonts w:ascii="Cambria Math" w:hAnsi="Cambria Math"/>
          </w:rPr>
          <m:t>=</m:t>
        </m:r>
        <m:f>
          <m:fPr>
            <m:ctrlPr>
              <w:rPr>
                <w:rFonts w:ascii="Cambria Math" w:hAnsi="Cambria Math"/>
              </w:rPr>
            </m:ctrlPr>
          </m:fPr>
          <m:num>
            <m:f>
              <m:fPr>
                <m:ctrlPr>
                  <w:rPr>
                    <w:rFonts w:ascii="Cambria Math" w:hAnsi="Cambria Math"/>
                  </w:rPr>
                </m:ctrlPr>
              </m:fPr>
              <m:num>
                <m:nary>
                  <m:naryPr>
                    <m:chr m:val="∑"/>
                    <m:limLoc m:val="subSup"/>
                    <m:grow m:val="1"/>
                    <m:subHide m:val="1"/>
                    <m:ctrlPr>
                      <w:rPr>
                        <w:rFonts w:ascii="Cambria Math" w:hAnsi="Cambria Math"/>
                      </w:rPr>
                    </m:ctrlPr>
                  </m:naryPr>
                  <m:sub/>
                  <m:sup/>
                  <m:e/>
                </m:nary>
                <m:sSub>
                  <m:sSubPr>
                    <m:ctrlPr>
                      <w:rPr>
                        <w:rFonts w:ascii="Cambria Math" w:hAnsi="Cambria Math"/>
                      </w:rPr>
                    </m:ctrlPr>
                  </m:sSubPr>
                  <m:e>
                    <m:r>
                      <w:rPr>
                        <w:rFonts w:ascii="Cambria Math" w:hAnsi="Cambria Math"/>
                      </w:rPr>
                      <m:t>X</m:t>
                    </m:r>
                  </m:e>
                  <m:sub>
                    <m:r>
                      <w:rPr>
                        <w:rFonts w:ascii="Cambria Math" w:hAnsi="Cambria Math"/>
                      </w:rPr>
                      <m:t>i</m:t>
                    </m:r>
                  </m:sub>
                </m:sSub>
                <m:sSub>
                  <m:sSubPr>
                    <m:ctrlPr>
                      <w:rPr>
                        <w:rFonts w:ascii="Cambria Math" w:hAnsi="Cambria Math"/>
                      </w:rPr>
                    </m:ctrlPr>
                  </m:sSubPr>
                  <m:e>
                    <m:r>
                      <w:rPr>
                        <w:rFonts w:ascii="Cambria Math" w:hAnsi="Cambria Math"/>
                      </w:rPr>
                      <m:t>Y</m:t>
                    </m:r>
                  </m:e>
                  <m:sub>
                    <m:r>
                      <w:rPr>
                        <w:rFonts w:ascii="Cambria Math" w:hAnsi="Cambria Math"/>
                      </w:rPr>
                      <m:t>i</m:t>
                    </m:r>
                  </m:sub>
                </m:sSub>
              </m:num>
              <m:den>
                <m:r>
                  <w:rPr>
                    <w:rFonts w:ascii="Cambria Math" w:hAnsi="Cambria Math"/>
                  </w:rPr>
                  <m:t>N</m:t>
                </m:r>
              </m:den>
            </m:f>
            <m:r>
              <w:rPr>
                <w:rFonts w:ascii="Cambria Math" w:hAnsi="Cambria Math"/>
              </w:rPr>
              <m:t>-</m:t>
            </m:r>
            <m:acc>
              <m:accPr>
                <m:chr m:val="̅"/>
                <m:ctrlPr>
                  <w:rPr>
                    <w:rFonts w:ascii="Cambria Math" w:hAnsi="Cambria Math"/>
                  </w:rPr>
                </m:ctrlPr>
              </m:accPr>
              <m:e>
                <m:r>
                  <w:rPr>
                    <w:rFonts w:ascii="Cambria Math" w:hAnsi="Cambria Math"/>
                  </w:rPr>
                  <m:t>XY</m:t>
                </m:r>
              </m:e>
            </m:acc>
          </m:num>
          <m:den>
            <m:f>
              <m:fPr>
                <m:ctrlPr>
                  <w:rPr>
                    <w:rFonts w:ascii="Cambria Math" w:hAnsi="Cambria Math"/>
                  </w:rPr>
                </m:ctrlPr>
              </m:fPr>
              <m:num>
                <m:nary>
                  <m:naryPr>
                    <m:chr m:val="∑"/>
                    <m:limLoc m:val="subSup"/>
                    <m:grow m:val="1"/>
                    <m:subHide m:val="1"/>
                    <m:ctrlPr>
                      <w:rPr>
                        <w:rFonts w:ascii="Cambria Math" w:hAnsi="Cambria Math"/>
                      </w:rPr>
                    </m:ctrlPr>
                  </m:naryPr>
                  <m:sub/>
                  <m:sup/>
                  <m:e/>
                </m:nary>
                <m:sSubSup>
                  <m:sSubSupPr>
                    <m:ctrlPr>
                      <w:rPr>
                        <w:rFonts w:ascii="Cambria Math" w:hAnsi="Cambria Math"/>
                      </w:rPr>
                    </m:ctrlPr>
                  </m:sSubSupPr>
                  <m:e>
                    <m:r>
                      <w:rPr>
                        <w:rFonts w:ascii="Cambria Math" w:hAnsi="Cambria Math"/>
                      </w:rPr>
                      <m:t>X</m:t>
                    </m:r>
                  </m:e>
                  <m:sub>
                    <m:r>
                      <w:rPr>
                        <w:rFonts w:ascii="Cambria Math" w:hAnsi="Cambria Math"/>
                      </w:rPr>
                      <m:t>i</m:t>
                    </m:r>
                  </m:sub>
                  <m:sup>
                    <m:r>
                      <w:rPr>
                        <w:rFonts w:ascii="Cambria Math" w:hAnsi="Cambria Math"/>
                      </w:rPr>
                      <m:t>2</m:t>
                    </m:r>
                  </m:sup>
                </m:sSubSup>
              </m:num>
              <m:den>
                <m:r>
                  <w:rPr>
                    <w:rFonts w:ascii="Cambria Math" w:hAnsi="Cambria Math"/>
                  </w:rPr>
                  <m:t>N</m:t>
                </m:r>
              </m:den>
            </m:f>
            <m:r>
              <w:rPr>
                <w:rFonts w:ascii="Cambria Math" w:hAnsi="Cambria Math"/>
              </w:rPr>
              <m:t>-</m:t>
            </m:r>
            <m:sSup>
              <m:sSupPr>
                <m:ctrlPr>
                  <w:rPr>
                    <w:rFonts w:ascii="Cambria Math" w:hAnsi="Cambria Math"/>
                  </w:rPr>
                </m:ctrlPr>
              </m:sSupPr>
              <m:e>
                <m:acc>
                  <m:accPr>
                    <m:chr m:val="̅"/>
                    <m:ctrlPr>
                      <w:rPr>
                        <w:rFonts w:ascii="Cambria Math" w:hAnsi="Cambria Math"/>
                      </w:rPr>
                    </m:ctrlPr>
                  </m:accPr>
                  <m:e>
                    <m:r>
                      <w:rPr>
                        <w:rFonts w:ascii="Cambria Math" w:hAnsi="Cambria Math"/>
                      </w:rPr>
                      <m:t>X</m:t>
                    </m:r>
                  </m:e>
                </m:acc>
              </m:e>
              <m:sup>
                <m:r>
                  <w:rPr>
                    <w:rFonts w:ascii="Cambria Math" w:hAnsi="Cambria Math"/>
                  </w:rPr>
                  <m:t>2</m:t>
                </m:r>
              </m:sup>
            </m:sSup>
          </m:den>
        </m:f>
      </m:oMath>
      <w:r>
        <w:t xml:space="preserve"> et </w:t>
      </w:r>
      <m:oMath>
        <m:r>
          <w:rPr>
            <w:rFonts w:ascii="Cambria Math" w:hAnsi="Cambria Math"/>
          </w:rPr>
          <m:t>b=</m:t>
        </m:r>
        <m:acc>
          <m:accPr>
            <m:chr m:val="̅"/>
            <m:ctrlPr>
              <w:rPr>
                <w:rFonts w:ascii="Cambria Math" w:hAnsi="Cambria Math"/>
              </w:rPr>
            </m:ctrlPr>
          </m:accPr>
          <m:e>
            <m:r>
              <w:rPr>
                <w:rFonts w:ascii="Cambria Math" w:hAnsi="Cambria Math"/>
              </w:rPr>
              <m:t>Y</m:t>
            </m:r>
          </m:e>
        </m:acc>
        <m:r>
          <w:rPr>
            <w:rFonts w:ascii="Cambria Math" w:hAnsi="Cambria Math"/>
          </w:rPr>
          <m:t>-a</m:t>
        </m:r>
        <m:acc>
          <m:accPr>
            <m:chr m:val="̅"/>
            <m:ctrlPr>
              <w:rPr>
                <w:rFonts w:ascii="Cambria Math" w:hAnsi="Cambria Math"/>
              </w:rPr>
            </m:ctrlPr>
          </m:accPr>
          <m:e>
            <m:r>
              <w:rPr>
                <w:rFonts w:ascii="Cambria Math" w:hAnsi="Cambria Math"/>
              </w:rPr>
              <m:t>X</m:t>
            </m:r>
          </m:e>
        </m:acc>
      </m:oMath>
    </w:p>
    <w:p w14:paraId="28A73E64" w14:textId="77777777" w:rsidR="005D07A6" w:rsidRDefault="00F42774">
      <w:pPr>
        <w:pStyle w:val="T6"/>
      </w:pPr>
      <w:r>
        <w:t>2.</w:t>
      </w:r>
      <w:r>
        <w:tab/>
        <w:t>Qualité du modèle</w:t>
      </w:r>
    </w:p>
    <w:p w14:paraId="3311575F" w14:textId="77777777" w:rsidR="005D07A6" w:rsidRDefault="00F42774">
      <w:pPr>
        <w:pStyle w:val="CTEspDessous"/>
      </w:pPr>
      <w:r>
        <w:t xml:space="preserve">La qualité de la régression est généralement fournie par le </w:t>
      </w:r>
      <w:r>
        <w:rPr>
          <w:b/>
          <w:bCs/>
        </w:rPr>
        <w:t>r</w:t>
      </w:r>
      <w:r>
        <w:rPr>
          <w:b/>
          <w:bCs/>
          <w:vertAlign w:val="superscript"/>
        </w:rPr>
        <w:t>2</w:t>
      </w:r>
      <w:r>
        <w:t xml:space="preserve"> que l’on appelle</w:t>
      </w:r>
      <w:r>
        <w:rPr>
          <w:b/>
          <w:bCs/>
        </w:rPr>
        <w:t xml:space="preserve"> coefficient de détermination</w:t>
      </w:r>
      <w:r>
        <w:rPr>
          <w:highlight w:val="green"/>
        </w:rPr>
        <w:fldChar w:fldCharType="begin"/>
      </w:r>
      <w:r>
        <w:rPr>
          <w:highlight w:val="green"/>
        </w:rPr>
        <w:instrText xml:space="preserve"> XE "</w:instrText>
      </w:r>
      <w:r>
        <w:rPr>
          <w:noProof/>
          <w:highlight w:val="green"/>
        </w:rPr>
        <w:instrText>Coefficient</w:instrText>
      </w:r>
      <w:r>
        <w:rPr>
          <w:highlight w:val="green"/>
        </w:rPr>
        <w:instrText>:</w:instrText>
      </w:r>
      <w:r>
        <w:rPr>
          <w:noProof/>
          <w:highlight w:val="green"/>
        </w:rPr>
        <w:instrText>– de détermination</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R² (coefficient de détermination)</w:instrText>
      </w:r>
      <w:r>
        <w:rPr>
          <w:highlight w:val="green"/>
        </w:rPr>
        <w:instrText xml:space="preserve">" </w:instrText>
      </w:r>
      <w:r>
        <w:rPr>
          <w:highlight w:val="green"/>
        </w:rPr>
        <w:fldChar w:fldCharType="end"/>
      </w:r>
      <w:r>
        <w:t xml:space="preserve"> et qui n’est autre que le coefficient de corrélation élevé au carré. Plus il est élevé (et proche de 1 ou 100 %), plus le modèle est de qualité. Ce coefficient mesure la part de dispersion totale exprimée par le modèle. Si r</w:t>
      </w:r>
      <w:r>
        <w:rPr>
          <w:vertAlign w:val="superscript"/>
        </w:rPr>
        <w:t>2</w:t>
      </w:r>
      <w:r>
        <w:t> = 100 %, cela signifie que le modèle explique parfaitement les données observées. Si r</w:t>
      </w:r>
      <w:r>
        <w:rPr>
          <w:vertAlign w:val="superscript"/>
        </w:rPr>
        <w:t>2</w:t>
      </w:r>
      <w:r>
        <w:t> = 0 %, c’est le contraire.</w:t>
      </w:r>
    </w:p>
    <w:p w14:paraId="3B51B792" w14:textId="77777777" w:rsidR="005D07A6" w:rsidRDefault="00F42774">
      <w:pPr>
        <w:pStyle w:val="debutfiletr"/>
      </w:pPr>
      <w:r>
        <w:t>Application _n-11</w:t>
      </w:r>
    </w:p>
    <w:p w14:paraId="48FC30A2" w14:textId="77777777" w:rsidR="005D07A6" w:rsidRDefault="00F42774">
      <w:pPr>
        <w:pStyle w:val="CT"/>
      </w:pPr>
      <w:r>
        <w:t>Les chiffres d’affaires sont réalisés en fonction des dépenses d’animation du mois.</w:t>
      </w:r>
    </w:p>
    <w:tbl>
      <w:tblPr>
        <w:tblW w:w="7683" w:type="dxa"/>
        <w:tblInd w:w="1701" w:type="dxa"/>
        <w:tblLook w:val="04A0" w:firstRow="1" w:lastRow="0" w:firstColumn="1" w:lastColumn="0" w:noHBand="0" w:noVBand="1"/>
      </w:tblPr>
      <w:tblGrid>
        <w:gridCol w:w="3722"/>
        <w:gridCol w:w="661"/>
        <w:gridCol w:w="660"/>
        <w:gridCol w:w="660"/>
        <w:gridCol w:w="660"/>
        <w:gridCol w:w="660"/>
        <w:gridCol w:w="660"/>
      </w:tblGrid>
      <w:tr w:rsidR="005D07A6" w14:paraId="72F0A914" w14:textId="77777777">
        <w:tc>
          <w:tcPr>
            <w:tcW w:w="279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DE29377" w14:textId="77777777" w:rsidR="005D07A6" w:rsidRDefault="00F42774">
            <w:pPr>
              <w:pStyle w:val="TA1"/>
              <w:rPr>
                <w:rFonts w:eastAsiaTheme="minorEastAsia"/>
              </w:rPr>
            </w:pPr>
            <w:r>
              <w:rPr>
                <w:b/>
                <w:bCs/>
              </w:rPr>
              <w:t>Chiffres d’affaires (en milliers euros)</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8400330" w14:textId="77777777" w:rsidR="005D07A6" w:rsidRDefault="00F42774">
            <w:pPr>
              <w:pStyle w:val="TA1"/>
              <w:jc w:val="center"/>
              <w:rPr>
                <w:rFonts w:eastAsiaTheme="minorEastAsia"/>
              </w:rPr>
            </w:pPr>
            <w:r>
              <w:t>150</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AC722CD" w14:textId="77777777" w:rsidR="005D07A6" w:rsidRDefault="00F42774">
            <w:pPr>
              <w:pStyle w:val="TA1"/>
              <w:jc w:val="center"/>
              <w:rPr>
                <w:rFonts w:eastAsiaTheme="minorEastAsia"/>
              </w:rPr>
            </w:pPr>
            <w:r>
              <w:t>200</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48EEE90" w14:textId="77777777" w:rsidR="005D07A6" w:rsidRDefault="00F42774">
            <w:pPr>
              <w:pStyle w:val="TA1"/>
              <w:jc w:val="center"/>
              <w:rPr>
                <w:rFonts w:eastAsiaTheme="minorEastAsia"/>
              </w:rPr>
            </w:pPr>
            <w:r>
              <w:t>180</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A62C6DB" w14:textId="77777777" w:rsidR="005D07A6" w:rsidRDefault="00F42774">
            <w:pPr>
              <w:pStyle w:val="TA1"/>
              <w:jc w:val="center"/>
              <w:rPr>
                <w:rFonts w:eastAsiaTheme="minorEastAsia"/>
              </w:rPr>
            </w:pPr>
            <w:r>
              <w:t>240</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A739068" w14:textId="77777777" w:rsidR="005D07A6" w:rsidRDefault="00F42774">
            <w:pPr>
              <w:pStyle w:val="TA1"/>
              <w:jc w:val="center"/>
              <w:rPr>
                <w:rFonts w:eastAsiaTheme="minorEastAsia"/>
              </w:rPr>
            </w:pPr>
            <w:r>
              <w:t>320</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E77BF3F" w14:textId="77777777" w:rsidR="005D07A6" w:rsidRDefault="00F42774">
            <w:pPr>
              <w:pStyle w:val="TA1"/>
              <w:jc w:val="center"/>
              <w:rPr>
                <w:rFonts w:eastAsiaTheme="minorEastAsia"/>
              </w:rPr>
            </w:pPr>
            <w:r>
              <w:t>280</w:t>
            </w:r>
          </w:p>
        </w:tc>
      </w:tr>
      <w:tr w:rsidR="005D07A6" w14:paraId="4F274EEF" w14:textId="77777777">
        <w:tc>
          <w:tcPr>
            <w:tcW w:w="279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5935243" w14:textId="77777777" w:rsidR="005D07A6" w:rsidRDefault="00F42774">
            <w:pPr>
              <w:pStyle w:val="TA1"/>
              <w:rPr>
                <w:rFonts w:eastAsiaTheme="minorEastAsia"/>
              </w:rPr>
            </w:pPr>
            <w:r>
              <w:rPr>
                <w:b/>
                <w:bCs/>
              </w:rPr>
              <w:lastRenderedPageBreak/>
              <w:t>Dépenses d’animation (en milliers euros)</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FC7A0B1" w14:textId="77777777" w:rsidR="005D07A6" w:rsidRDefault="00F42774">
            <w:pPr>
              <w:pStyle w:val="TA1"/>
              <w:jc w:val="center"/>
              <w:rPr>
                <w:rFonts w:eastAsiaTheme="minorEastAsia"/>
              </w:rPr>
            </w:pPr>
            <w:r>
              <w:t>1</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86C83AA" w14:textId="77777777" w:rsidR="005D07A6" w:rsidRDefault="00F42774">
            <w:pPr>
              <w:pStyle w:val="TA1"/>
              <w:jc w:val="center"/>
              <w:rPr>
                <w:rFonts w:eastAsiaTheme="minorEastAsia"/>
              </w:rPr>
            </w:pPr>
            <w:r>
              <w:t>2</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603D0AC" w14:textId="77777777" w:rsidR="005D07A6" w:rsidRDefault="00F42774">
            <w:pPr>
              <w:pStyle w:val="TA1"/>
              <w:jc w:val="center"/>
              <w:rPr>
                <w:rFonts w:eastAsiaTheme="minorEastAsia"/>
              </w:rPr>
            </w:pPr>
            <w:r>
              <w:t>2</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B692E00" w14:textId="77777777" w:rsidR="005D07A6" w:rsidRDefault="00F42774">
            <w:pPr>
              <w:pStyle w:val="TA1"/>
              <w:jc w:val="center"/>
              <w:rPr>
                <w:rFonts w:eastAsiaTheme="minorEastAsia"/>
              </w:rPr>
            </w:pPr>
            <w:r>
              <w:t>2,2</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D1695D6" w14:textId="77777777" w:rsidR="005D07A6" w:rsidRDefault="00F42774">
            <w:pPr>
              <w:pStyle w:val="TA1"/>
              <w:jc w:val="center"/>
              <w:rPr>
                <w:rFonts w:eastAsiaTheme="minorEastAsia"/>
              </w:rPr>
            </w:pPr>
            <w:r>
              <w:t>2,7</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67EF26F" w14:textId="77777777" w:rsidR="005D07A6" w:rsidRDefault="00F42774">
            <w:pPr>
              <w:pStyle w:val="TA1"/>
              <w:jc w:val="center"/>
              <w:rPr>
                <w:rFonts w:eastAsiaTheme="minorEastAsia"/>
              </w:rPr>
            </w:pPr>
            <w:r>
              <w:t>2,5</w:t>
            </w:r>
          </w:p>
        </w:tc>
      </w:tr>
    </w:tbl>
    <w:p w14:paraId="320C1306" w14:textId="77777777" w:rsidR="005D07A6" w:rsidRDefault="00F42774">
      <w:pPr>
        <w:pStyle w:val="CT"/>
        <w:rPr>
          <w:rFonts w:eastAsiaTheme="minorEastAsia"/>
        </w:rPr>
      </w:pPr>
      <w:r>
        <w:t>Nous avons vu précédemment qu’il existait une forte corrélation entre les dépenses d’animation et le niveau des ventes. Peut-on envisager de construire un modèle prédictif des ventes à partir des dépenses d’animation ?</w:t>
      </w:r>
    </w:p>
    <w:p w14:paraId="14428BBF" w14:textId="77777777" w:rsidR="005D07A6" w:rsidRDefault="00F42774">
      <w:pPr>
        <w:pStyle w:val="CT"/>
      </w:pPr>
      <w:r>
        <w:t>Pour cela, nous allons construire un modèle de régression linéaire.</w:t>
      </w:r>
    </w:p>
    <w:p w14:paraId="57F7EB90" w14:textId="77777777" w:rsidR="005D07A6" w:rsidRDefault="00F42774">
      <w:pPr>
        <w:pStyle w:val="CT"/>
      </w:pPr>
      <w:r>
        <w:t>La saisie des dépenses d’animation (variable X) et des chiffres d’affaires (variable Y) permet d’obtenir, avec les fonctions statistiques d’une calculatrice :</w:t>
      </w:r>
    </w:p>
    <w:p w14:paraId="5D14D099" w14:textId="77777777" w:rsidR="005D07A6" w:rsidRDefault="00F42774">
      <w:pPr>
        <w:pStyle w:val="CT"/>
      </w:pPr>
      <w:r>
        <w:t>Y = 97,338X + 27,167</w:t>
      </w:r>
    </w:p>
    <w:p w14:paraId="02935CE5" w14:textId="77777777" w:rsidR="005D07A6" w:rsidRDefault="00F42774">
      <w:pPr>
        <w:pStyle w:val="CT"/>
      </w:pPr>
      <w:r>
        <w:t>Par ailleurs, à partir du coefficient de corrélation calculé précédemment, nous pouvons calculer le coefficient de détermination :</w:t>
      </w:r>
    </w:p>
    <w:p w14:paraId="6A5F7277" w14:textId="77777777" w:rsidR="005D07A6" w:rsidRDefault="00F42774">
      <w:pPr>
        <w:pStyle w:val="CT"/>
      </w:pPr>
      <w:r>
        <w:t>r</w:t>
      </w:r>
      <w:r>
        <w:rPr>
          <w:vertAlign w:val="superscript"/>
        </w:rPr>
        <w:t>2</w:t>
      </w:r>
      <w:r>
        <w:t> = 0,811 soit 81 %</w:t>
      </w:r>
    </w:p>
    <w:p w14:paraId="6AB71EB0" w14:textId="77777777" w:rsidR="005D07A6" w:rsidRDefault="00F42774">
      <w:pPr>
        <w:pStyle w:val="CT"/>
      </w:pPr>
      <w:r>
        <w:t>Le r</w:t>
      </w:r>
      <w:r>
        <w:rPr>
          <w:vertAlign w:val="superscript"/>
        </w:rPr>
        <w:t>2</w:t>
      </w:r>
      <w:r>
        <w:t xml:space="preserve"> est élevé. Cela signifie que le modèle (l’équation de régression) traduit relativement bien les données observées (sans pour autant être parfait). Il peut donc servir pour effectuer des prévisions relativement fiables.</w:t>
      </w:r>
    </w:p>
    <w:p w14:paraId="0E214685" w14:textId="77777777" w:rsidR="005D07A6" w:rsidRDefault="00F42774">
      <w:pPr>
        <w:pStyle w:val="CT"/>
      </w:pPr>
      <w:r>
        <w:t>Nous pouvons dès lors utiliser ce modèle pour prévoir les ventes futures. Par exemple, l’entreprise envisage de dépenser 3 000 € en animation. Quel devrait être alors le niveau des ventes ?</w:t>
      </w:r>
    </w:p>
    <w:p w14:paraId="2D9B041B" w14:textId="77777777" w:rsidR="005D07A6" w:rsidRDefault="00F42774">
      <w:pPr>
        <w:pStyle w:val="CT"/>
      </w:pPr>
      <w:r>
        <w:t>Il convient de remplacer X par 3 (milliers euros) dans la fonction.</w:t>
      </w:r>
    </w:p>
    <w:p w14:paraId="2EF94498" w14:textId="77777777" w:rsidR="005D07A6" w:rsidRDefault="00F42774">
      <w:pPr>
        <w:pStyle w:val="CT"/>
      </w:pPr>
      <w:r>
        <w:t>Y = 319,18</w:t>
      </w:r>
    </w:p>
    <w:p w14:paraId="2BC94B52" w14:textId="77777777" w:rsidR="005D07A6" w:rsidRDefault="00F42774">
      <w:pPr>
        <w:pStyle w:val="finfiletr"/>
      </w:pPr>
      <w:r>
        <w:t>Fin Application</w:t>
      </w:r>
    </w:p>
    <w:p w14:paraId="645B42EE" w14:textId="77777777" w:rsidR="005D07A6" w:rsidRDefault="00F42774">
      <w:pPr>
        <w:pStyle w:val="T3"/>
      </w:pPr>
      <w:r>
        <w:t>section 2.</w:t>
      </w:r>
      <w:r>
        <w:tab/>
        <w:t>Prestations réciproques</w:t>
      </w:r>
      <w:r>
        <w:rPr>
          <w:highlight w:val="green"/>
        </w:rPr>
        <w:fldChar w:fldCharType="begin"/>
      </w:r>
      <w:r>
        <w:rPr>
          <w:highlight w:val="green"/>
        </w:rPr>
        <w:instrText xml:space="preserve"> XE "</w:instrText>
      </w:r>
      <w:r>
        <w:rPr>
          <w:noProof/>
          <w:highlight w:val="green"/>
        </w:rPr>
        <w:instrText>Prestations réciproques</w:instrText>
      </w:r>
      <w:r>
        <w:rPr>
          <w:highlight w:val="green"/>
        </w:rPr>
        <w:instrText xml:space="preserve">" </w:instrText>
      </w:r>
      <w:r>
        <w:rPr>
          <w:highlight w:val="green"/>
        </w:rPr>
        <w:fldChar w:fldCharType="end"/>
      </w:r>
    </w:p>
    <w:p w14:paraId="1C23A2DE" w14:textId="77777777" w:rsidR="005D07A6" w:rsidRDefault="00F42774">
      <w:pPr>
        <w:pStyle w:val="CTEspDessous"/>
      </w:pPr>
      <w:r>
        <w:t>Quand deux centres d’activité se fournissent mutuellement des prestations, le calcul du coût des unités d’œuvre (ou de la base permettant d’appliquer une clé de répartition) passe par la résolution d’un système de deux équations à deux inconnues.</w:t>
      </w:r>
    </w:p>
    <w:p w14:paraId="1E2BE289" w14:textId="77777777" w:rsidR="005D07A6" w:rsidRDefault="00F42774">
      <w:pPr>
        <w:pStyle w:val="CTEspDessous"/>
      </w:pPr>
      <w:r>
        <w:t xml:space="preserve">Par exemple, considérons les centres C et D en situation de </w:t>
      </w:r>
      <w:r>
        <w:rPr>
          <w:b/>
          <w:bCs/>
        </w:rPr>
        <w:t>prestations réciproques</w:t>
      </w:r>
      <w:r>
        <w:t>. Le centre C engage 19 500 € de frais propres et produit 1 000 unités d’œuvre, dont 100 font l’objet d’une prestation à D.</w:t>
      </w:r>
    </w:p>
    <w:p w14:paraId="149E6AFA" w14:textId="77777777" w:rsidR="005D07A6" w:rsidRDefault="00F42774">
      <w:pPr>
        <w:pStyle w:val="CTEspDessous"/>
      </w:pPr>
      <w:r>
        <w:t>Inversement, D engage 3 000 € de frais propres et produit 500 unités d’œuvre, dont 50 font l’objet d’une prestation à C.</w:t>
      </w:r>
    </w:p>
    <w:p w14:paraId="1C7ABE0E" w14:textId="77777777" w:rsidR="005D07A6" w:rsidRDefault="00F42774">
      <w:pPr>
        <w:pStyle w:val="CT"/>
      </w:pPr>
      <w:r>
        <w:t>Nous avons le schéma suivant :</w:t>
      </w:r>
    </w:p>
    <w:p w14:paraId="2BD9F2A2" w14:textId="77777777" w:rsidR="005D07A6" w:rsidRDefault="00F42774">
      <w:pPr>
        <w:pStyle w:val="CT"/>
        <w:jc w:val="center"/>
      </w:pPr>
      <w:r>
        <w:rPr>
          <w:noProof/>
        </w:rPr>
        <w:drawing>
          <wp:inline distT="0" distB="0" distL="0" distR="0" wp14:anchorId="5C6B546F" wp14:editId="1C930A81">
            <wp:extent cx="3645724" cy="1676545"/>
            <wp:effectExtent l="0" t="0" r="0" b="0"/>
            <wp:docPr id="21" name="Image 21" descr="Pas de visualisation pour [UE202526_433_S1_fichiers/UE121S1_003.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as de visualisation pour [UE202526_433_S1_fichiers/UE121S1_003.png] !"/>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645724" cy="1676545"/>
                    </a:xfrm>
                    <a:prstGeom prst="rect">
                      <a:avLst/>
                    </a:prstGeom>
                    <a:noFill/>
                    <a:ln>
                      <a:noFill/>
                    </a:ln>
                  </pic:spPr>
                </pic:pic>
              </a:graphicData>
            </a:graphic>
          </wp:inline>
        </w:drawing>
      </w:r>
      <w:r>
        <w:t>&lt;image&gt;UE121S1_003.png&lt;/image&gt;</w:t>
      </w:r>
    </w:p>
    <w:p w14:paraId="633DF8A2" w14:textId="77777777" w:rsidR="005D07A6" w:rsidRDefault="00F42774">
      <w:pPr>
        <w:pStyle w:val="CT"/>
      </w:pPr>
      <w:r>
        <w:t>Soit c et d, les coûts des unités d’œuvre de C et D, respectivement.</w:t>
      </w:r>
    </w:p>
    <w:p w14:paraId="5B783924" w14:textId="77777777" w:rsidR="005D07A6" w:rsidRDefault="00F42774">
      <w:pPr>
        <w:pStyle w:val="CT"/>
      </w:pPr>
      <w:r>
        <w:t>Pour chaque centre, il faut poser que la valeur de l’ensemble des prestations fournies est égale à la somme des frais propres et de la valeur des prestations reçues.</w:t>
      </w:r>
    </w:p>
    <w:p w14:paraId="2E34EF33" w14:textId="77777777" w:rsidR="005D07A6" w:rsidRDefault="00F42774">
      <w:pPr>
        <w:pStyle w:val="CTEspDessous"/>
      </w:pPr>
      <w:r>
        <w:t>Pour C, nous avons : 1 000c = 19 500 + 50d (équation 1).</w:t>
      </w:r>
    </w:p>
    <w:p w14:paraId="3FC93831" w14:textId="77777777" w:rsidR="005D07A6" w:rsidRDefault="00F42774">
      <w:pPr>
        <w:pStyle w:val="CTEspDessous"/>
      </w:pPr>
      <w:r>
        <w:t>Et pour D : 500d = 3 000 + 100c (équation 2).</w:t>
      </w:r>
    </w:p>
    <w:p w14:paraId="257D8047" w14:textId="77777777" w:rsidR="005D07A6" w:rsidRDefault="00F42774">
      <w:pPr>
        <w:pStyle w:val="CTEspDessous"/>
      </w:pPr>
      <w:r>
        <w:t>On résout le problème par substitution. La première équation donne :</w:t>
      </w:r>
    </w:p>
    <w:p w14:paraId="5AAEDA6A" w14:textId="77777777" w:rsidR="005D07A6" w:rsidRDefault="00F42774">
      <w:pPr>
        <w:pStyle w:val="CTEspDessous"/>
      </w:pPr>
      <w:r>
        <w:t>c = 19,5 + 0,05d</w:t>
      </w:r>
    </w:p>
    <w:p w14:paraId="00FDFE50" w14:textId="77777777" w:rsidR="005D07A6" w:rsidRDefault="00F42774">
      <w:pPr>
        <w:pStyle w:val="CT"/>
      </w:pPr>
      <w:r>
        <w:lastRenderedPageBreak/>
        <w:t>On reporte cette valeur dans la seconde équation :</w:t>
      </w:r>
    </w:p>
    <w:p w14:paraId="2B11E276" w14:textId="77777777" w:rsidR="005D07A6" w:rsidRDefault="00F42774">
      <w:pPr>
        <w:pStyle w:val="CT"/>
      </w:pPr>
      <w:r>
        <w:t>500d = 3 000 + 100(19,5 + 0,05d)</w:t>
      </w:r>
    </w:p>
    <w:p w14:paraId="68298077" w14:textId="77777777" w:rsidR="005D07A6" w:rsidRDefault="00F42774">
      <w:pPr>
        <w:pStyle w:val="CTEspDessous"/>
      </w:pPr>
      <w:r>
        <w:t>500d = 3 000 + 1 950 + 5d</w:t>
      </w:r>
    </w:p>
    <w:p w14:paraId="1B323208" w14:textId="77777777" w:rsidR="005D07A6" w:rsidRDefault="00F42774">
      <w:pPr>
        <w:pStyle w:val="CTEspDessous"/>
      </w:pPr>
      <w:r>
        <w:t>(500 – 5)d = 4 950</w:t>
      </w:r>
    </w:p>
    <w:p w14:paraId="6FB62223" w14:textId="77777777" w:rsidR="005D07A6" w:rsidRDefault="00F42774">
      <w:pPr>
        <w:pStyle w:val="CTEspDessous"/>
      </w:pPr>
      <w:r>
        <w:t>D’où d = 4 950/495 = 10</w:t>
      </w:r>
    </w:p>
    <w:p w14:paraId="394892A0" w14:textId="77777777" w:rsidR="005D07A6" w:rsidRDefault="00F42774">
      <w:pPr>
        <w:pStyle w:val="CTEspDessous"/>
      </w:pPr>
      <w:r>
        <w:t>Et c = 19,5 + (0,05 × 10) = 20</w:t>
      </w:r>
    </w:p>
    <w:p w14:paraId="302DCBFC" w14:textId="77777777" w:rsidR="005D07A6" w:rsidRDefault="00F42774">
      <w:pPr>
        <w:pStyle w:val="CT"/>
      </w:pPr>
      <w:r>
        <w:t>Nous avons donc finalement :</w:t>
      </w:r>
    </w:p>
    <w:p w14:paraId="67F73D70" w14:textId="77777777" w:rsidR="005D07A6" w:rsidRDefault="00F42774">
      <w:pPr>
        <w:pStyle w:val="CTEspDessous"/>
      </w:pPr>
      <w:r>
        <w:t>c = 20 €</w:t>
      </w:r>
    </w:p>
    <w:p w14:paraId="12FCE90D" w14:textId="77777777" w:rsidR="005D07A6" w:rsidRDefault="00F42774">
      <w:pPr>
        <w:pStyle w:val="CTEspDessous"/>
      </w:pPr>
      <w:r>
        <w:t>d = 10 €</w:t>
      </w:r>
    </w:p>
    <w:p w14:paraId="0B8558C4" w14:textId="77777777" w:rsidR="005D07A6" w:rsidRDefault="00F42774">
      <w:pPr>
        <w:pStyle w:val="CTEspDessous"/>
      </w:pPr>
      <w:r>
        <w:t>Plus généralement, si « n » centres sont en interaction, il faut résoudre un système de « n » équations à « n » inconnues.</w:t>
      </w:r>
    </w:p>
    <w:p w14:paraId="15AAFDCB" w14:textId="77777777" w:rsidR="005D07A6" w:rsidRDefault="00F42774">
      <w:pPr>
        <w:pStyle w:val="T1"/>
      </w:pPr>
      <w:r>
        <w:t>Partie 3. La méthode ABC</w:t>
      </w:r>
    </w:p>
    <w:p w14:paraId="5BD71D20" w14:textId="77777777" w:rsidR="005D07A6" w:rsidRDefault="00F42774">
      <w:pPr>
        <w:pStyle w:val="CTEspDessous"/>
      </w:pPr>
      <w:r>
        <w:t>Dans le cadre de cette unité d’enseignement, deux méthodes de calcul d’un coût complet sont à connaître : la méthode des centres d’analyse ou des sections homogènes (présentée dans la partie 1, chapitre 1, section 4 ci-avant) et la méthode des coûts à base d’activités ou méthode ABC que nous présentons ici.</w:t>
      </w:r>
    </w:p>
    <w:p w14:paraId="6685404C" w14:textId="77777777" w:rsidR="005D07A6" w:rsidRDefault="00F42774">
      <w:pPr>
        <w:pStyle w:val="CTEspDessous"/>
      </w:pPr>
      <w:r>
        <w:t>Après avoir précisé le rôle des coûts complets, cette partie expose les raisons du développement de la méthode ABC.</w:t>
      </w:r>
    </w:p>
    <w:p w14:paraId="21007E20" w14:textId="77777777" w:rsidR="005D07A6" w:rsidRDefault="00F42774">
      <w:pPr>
        <w:pStyle w:val="T2"/>
      </w:pPr>
      <w:r>
        <w:t>Chapitre 1.</w:t>
      </w:r>
      <w:r>
        <w:tab/>
        <w:t>La genèse de la méthode ABC</w:t>
      </w:r>
    </w:p>
    <w:p w14:paraId="2AF35549" w14:textId="77777777" w:rsidR="005D07A6" w:rsidRDefault="00F42774">
      <w:pPr>
        <w:pStyle w:val="debutfilet"/>
      </w:pPr>
      <w:r>
        <w:t>Competences_attendues</w:t>
      </w:r>
    </w:p>
    <w:p w14:paraId="541BAC2F" w14:textId="77777777" w:rsidR="005D07A6" w:rsidRDefault="00F42774">
      <w:pPr>
        <w:pStyle w:val="ET"/>
      </w:pPr>
      <w:r>
        <w:t xml:space="preserve">Calculer et interpréter des coûts, des marges et des résultats dans un contexte donné. </w:t>
      </w:r>
    </w:p>
    <w:p w14:paraId="44A958AC" w14:textId="77777777" w:rsidR="005D07A6" w:rsidRDefault="00F42774">
      <w:pPr>
        <w:pStyle w:val="ET"/>
      </w:pPr>
      <w:r>
        <w:t>Apprécier les intérêts et limites des méthodes de calcul de coûts afin de choisir celle(s) adaptée(s) au contexte de gestion.</w:t>
      </w:r>
    </w:p>
    <w:p w14:paraId="2FBB90E8" w14:textId="77777777" w:rsidR="005D07A6" w:rsidRDefault="00F42774">
      <w:pPr>
        <w:pStyle w:val="finfilet"/>
      </w:pPr>
      <w:r>
        <w:t>Fin Competences_attendues</w:t>
      </w:r>
    </w:p>
    <w:p w14:paraId="49B2E6A1" w14:textId="77777777" w:rsidR="005D07A6" w:rsidRDefault="00F42774">
      <w:pPr>
        <w:pStyle w:val="T3"/>
      </w:pPr>
      <w:r>
        <w:t>section 1.</w:t>
      </w:r>
      <w:r>
        <w:tab/>
        <w:t>Le pilotage et les coûts complets</w:t>
      </w:r>
    </w:p>
    <w:p w14:paraId="6F4679DD" w14:textId="77777777" w:rsidR="005D07A6" w:rsidRDefault="00F42774">
      <w:pPr>
        <w:pStyle w:val="CT"/>
      </w:pPr>
      <w:r>
        <w:t xml:space="preserve">Selon le PCG 1982, le </w:t>
      </w:r>
      <w:r>
        <w:rPr>
          <w:b/>
          <w:bCs/>
        </w:rPr>
        <w:t>coût complet</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complet</w:instrText>
      </w:r>
      <w:r>
        <w:rPr>
          <w:highlight w:val="green"/>
        </w:rPr>
        <w:instrText xml:space="preserve">" </w:instrText>
      </w:r>
      <w:r>
        <w:rPr>
          <w:highlight w:val="green"/>
        </w:rPr>
        <w:fldChar w:fldCharType="end"/>
      </w:r>
      <w:r>
        <w:t xml:space="preserve"> est « constitué par la </w:t>
      </w:r>
      <w:r>
        <w:rPr>
          <w:b/>
          <w:bCs/>
        </w:rPr>
        <w:t>totalité des charges</w:t>
      </w:r>
      <w:r>
        <w:t xml:space="preserve"> qui peuvent lui être rapportées ». Il conduit à la détermination d’un </w:t>
      </w:r>
      <w:r>
        <w:rPr>
          <w:b/>
          <w:bCs/>
        </w:rPr>
        <w:t>coût de revient</w:t>
      </w:r>
      <w:r>
        <w:t>.</w:t>
      </w:r>
    </w:p>
    <w:p w14:paraId="7DBE0925" w14:textId="77777777" w:rsidR="005D07A6" w:rsidRDefault="00F42774">
      <w:pPr>
        <w:pStyle w:val="CT"/>
      </w:pPr>
      <w:r>
        <w:t>En termes d’aide à la décision, les applications du coût complet sont essentiellement le domaine du</w:t>
      </w:r>
      <w:r>
        <w:rPr>
          <w:b/>
          <w:bCs/>
        </w:rPr>
        <w:t xml:space="preserve"> pilotage stratégique</w:t>
      </w:r>
      <w:r>
        <w:rPr>
          <w:highlight w:val="green"/>
        </w:rPr>
        <w:fldChar w:fldCharType="begin"/>
      </w:r>
      <w:r>
        <w:rPr>
          <w:highlight w:val="green"/>
        </w:rPr>
        <w:instrText xml:space="preserve"> XE "</w:instrText>
      </w:r>
      <w:r>
        <w:rPr>
          <w:noProof/>
          <w:highlight w:val="green"/>
        </w:rPr>
        <w:instrText>Pilotage</w:instrText>
      </w:r>
      <w:r>
        <w:rPr>
          <w:highlight w:val="green"/>
        </w:rPr>
        <w:instrText>:</w:instrText>
      </w:r>
      <w:r>
        <w:rPr>
          <w:noProof/>
          <w:highlight w:val="green"/>
        </w:rPr>
        <w:instrText>– stratégique</w:instrText>
      </w:r>
      <w:r>
        <w:rPr>
          <w:highlight w:val="green"/>
        </w:rPr>
        <w:instrText xml:space="preserve">" </w:instrText>
      </w:r>
      <w:r>
        <w:rPr>
          <w:highlight w:val="green"/>
        </w:rPr>
        <w:fldChar w:fldCharType="end"/>
      </w:r>
      <w:r>
        <w:rPr>
          <w:b/>
          <w:bCs/>
        </w:rPr>
        <w:t xml:space="preserve"> à long terme</w:t>
      </w:r>
      <w:r>
        <w:t>.</w:t>
      </w:r>
    </w:p>
    <w:p w14:paraId="7E71C600" w14:textId="77777777" w:rsidR="005D07A6" w:rsidRDefault="00F42774">
      <w:pPr>
        <w:pStyle w:val="ET"/>
      </w:pPr>
      <w:r>
        <w:t>Faut-il lancer tel produit nouveau ? La décision s’appuie sur le coût de revient prévisionnel.</w:t>
      </w:r>
    </w:p>
    <w:p w14:paraId="6DC5EE0D" w14:textId="77777777" w:rsidR="005D07A6" w:rsidRDefault="00F42774">
      <w:pPr>
        <w:pStyle w:val="ET"/>
      </w:pPr>
      <w:r>
        <w:t>Comment fixer le prix de vente ? Sur les marchés où la concurrence est faible, le coût de revient permet de fixer un prix de vente. Sur les marchés où la concurrence est importante, le prix de vente est imposé par le marché et le coût de revient devient un coût cible à ne pas dépasser.</w:t>
      </w:r>
    </w:p>
    <w:p w14:paraId="5D4A52E5" w14:textId="77777777" w:rsidR="005D07A6" w:rsidRDefault="00F42774">
      <w:pPr>
        <w:pStyle w:val="ET"/>
      </w:pPr>
      <w:r>
        <w:t>Comment gérer le portefeuille d’activités et de produits ? La comparaison des résultats analytiques permet de faire des choix.</w:t>
      </w:r>
    </w:p>
    <w:p w14:paraId="075B03DF" w14:textId="77777777" w:rsidR="005D07A6" w:rsidRDefault="00F42774">
      <w:pPr>
        <w:pStyle w:val="ET"/>
      </w:pPr>
      <w:r>
        <w:t>Faut-il abandonner un produit non rentable ? Une telle décision est difficile à prendre. Si à court terme, le coût complet n’est pas suffisant pour prendre une telle décision (</w:t>
      </w:r>
      <w:r>
        <w:rPr>
          <w:i/>
          <w:iCs/>
        </w:rPr>
        <w:t>cf.</w:t>
      </w:r>
      <w:r>
        <w:t xml:space="preserve"> les méthodes de coûts partiels présentées dans la partie 1, chapitre 1 ci-avant), il n’en demeure pas moins qu’un produit non rentable ne peut durablement être conservé. À long terme, c’est le coût de revient complet qui doit guider le dirigeant, </w:t>
      </w:r>
      <w:r>
        <w:lastRenderedPageBreak/>
        <w:t>même si à court terme, l’abandon d’un produit peut être retardé si la marge sur coût partiel est positive.</w:t>
      </w:r>
    </w:p>
    <w:p w14:paraId="49B02BF9" w14:textId="77777777" w:rsidR="005D07A6" w:rsidRDefault="00F42774">
      <w:pPr>
        <w:pStyle w:val="ET"/>
      </w:pPr>
      <w:r>
        <w:t>Etc.</w:t>
      </w:r>
    </w:p>
    <w:p w14:paraId="0693BE83" w14:textId="77777777" w:rsidR="005D07A6" w:rsidRDefault="00F42774">
      <w:pPr>
        <w:pStyle w:val="CT"/>
      </w:pPr>
      <w:r>
        <w:t>Pour être exploitables dans le cadre de la gestion à court terme (comparaisons de coûts), le coût complet ne doit pas subir l’influence des variations d’activité (</w:t>
      </w:r>
      <w:r>
        <w:rPr>
          <w:i/>
          <w:iCs/>
        </w:rPr>
        <w:t>cf. </w:t>
      </w:r>
      <w:r>
        <w:t>l’imputation rationnelle des charges fixes, Partie 4 ci-après).</w:t>
      </w:r>
    </w:p>
    <w:p w14:paraId="6D004CE7" w14:textId="77777777" w:rsidR="005D07A6" w:rsidRDefault="00F42774">
      <w:pPr>
        <w:pStyle w:val="CT"/>
      </w:pPr>
      <w:r>
        <w:t>Par ailleurs, au-delà de leur rôle d’aide à la décision, les coûts complets sont également utilisés en comptabilité financière comme base d’évaluation de certains éléments du bilan :</w:t>
      </w:r>
    </w:p>
    <w:p w14:paraId="3F93254A" w14:textId="77777777" w:rsidR="005D07A6" w:rsidRDefault="00F42774">
      <w:pPr>
        <w:pStyle w:val="ET"/>
      </w:pPr>
      <w:r>
        <w:t>stocks (article 321-2 du PCG sur le coût d’acquisition) ;</w:t>
      </w:r>
    </w:p>
    <w:p w14:paraId="0B0A6CF7" w14:textId="77777777" w:rsidR="005D07A6" w:rsidRDefault="00F42774">
      <w:pPr>
        <w:pStyle w:val="ET"/>
      </w:pPr>
      <w:r>
        <w:t>productions immobilisées (article 321-3 du PCG sur le coût de production ; article 333-1 du PCG sur l’incorporation des charges financières ; article 321-3 du PCG sur la quote-part de charges correspondant à la sous-activité).</w:t>
      </w:r>
    </w:p>
    <w:p w14:paraId="2A02F47B" w14:textId="77777777" w:rsidR="005D07A6" w:rsidRDefault="00F42774">
      <w:pPr>
        <w:pStyle w:val="CTEspDessous"/>
      </w:pPr>
      <w:r>
        <w:t>Techniquement, la détermination d’un coût complet pose un problème fondamental : comment attribuer les charges indirectes (qui, par définition, concernent plusieurs produits ou services) à un produit ou service (objet de coût) ? C’est l’analyse, la décomposition et la répartition de ces charges indirectes qui vont être l’objet de toutes les critiques et qui sont à l’origine d’une nouvelle méthode de calcul du coût complet, dite « méthode ABC », qui s’est développée dans les années 1980 aux États-Unis. Elle s’est diffusée auprès des entreprises françaises dans les années 1990.</w:t>
      </w:r>
    </w:p>
    <w:p w14:paraId="4E69E7BA" w14:textId="77777777" w:rsidR="005D07A6" w:rsidRDefault="00F42774">
      <w:pPr>
        <w:pStyle w:val="CTEspDessous"/>
      </w:pPr>
      <w:r>
        <w:t>Cette méthode est très souvent présentée en opposition à la méthode « traditionnelle » (ou méthode des centres d’analyse issue du plan comptable de 1982). Cette opposition a permis à une génération de consultants en entreprise et d’enseignants de se distinguer de leurs prédécesseurs. Mais elle n’est pas nécessairement justifiée. Si le vocabulaire qui accompagne chacune de ces méthodes est très largement différent, le principe de calcul demeure fondamentalement le même : les charges (et notamment les charges indirectes) doivent être réparties sur les produits (ou objets de coûts) selon des clés de répartition qu’il faut identifier. L’analyse des charges indirectes est donc au cœur des préoccupations des deux méthodes.</w:t>
      </w:r>
    </w:p>
    <w:p w14:paraId="4FEBAAA1" w14:textId="77777777" w:rsidR="005D07A6" w:rsidRDefault="00F42774">
      <w:pPr>
        <w:pStyle w:val="T3"/>
      </w:pPr>
      <w:r>
        <w:t>section 2.</w:t>
      </w:r>
      <w:r>
        <w:tab/>
        <w:t>Les hypothèses implicites de la méthode des centres d’analyse</w:t>
      </w:r>
    </w:p>
    <w:p w14:paraId="1EFDB716" w14:textId="77777777" w:rsidR="005D07A6" w:rsidRDefault="00F42774">
      <w:pPr>
        <w:pStyle w:val="CTEspDessous"/>
      </w:pPr>
      <w:r>
        <w:t>Le développement de la méthode ABC est moins lié aux insuffisances de la méthode classique en elle-même, qu’à la « mauvaise » application qui en est souvent faite dans les entreprises. En effet, celles-ci ont trop souvent appliqué la méthode de calcul de coût comme une « recette de cuisine » sans véritable analyse préalable de la nature des coûts. Le découpage des centres d’analyse découle souvent du découpage fonctionnel de l’entreprise, et la condition théorique d’homogénéité des centres n’est pas nécessairement respectée. Avant de présenter la méthode ABC, il est donc utile de revenir sur les hypothèses implicites de la méthode des centres d’analyse.</w:t>
      </w:r>
    </w:p>
    <w:p w14:paraId="06657D3E" w14:textId="77777777" w:rsidR="005D07A6" w:rsidRDefault="00F42774">
      <w:pPr>
        <w:pStyle w:val="CTEspDessous"/>
      </w:pPr>
      <w:r>
        <w:t xml:space="preserve">La méthode des centres d’analyse (ou des sections homogènes) est issue des travaux de 1928 du lieutenant-colonel </w:t>
      </w:r>
      <w:r>
        <w:rPr>
          <w:b/>
          <w:bCs/>
        </w:rPr>
        <w:t>Rimailho</w:t>
      </w:r>
      <w:r>
        <w:rPr>
          <w:highlight w:val="green"/>
        </w:rPr>
        <w:fldChar w:fldCharType="begin"/>
      </w:r>
      <w:r>
        <w:rPr>
          <w:highlight w:val="green"/>
        </w:rPr>
        <w:instrText xml:space="preserve"> XE "</w:instrText>
      </w:r>
      <w:r>
        <w:rPr>
          <w:noProof/>
          <w:highlight w:val="green"/>
        </w:rPr>
        <w:instrText>Rimailho</w:instrText>
      </w:r>
      <w:r>
        <w:rPr>
          <w:highlight w:val="green"/>
        </w:rPr>
        <w:instrText xml:space="preserve">" </w:instrText>
      </w:r>
      <w:r>
        <w:rPr>
          <w:highlight w:val="green"/>
        </w:rPr>
        <w:fldChar w:fldCharType="end"/>
      </w:r>
      <w:r>
        <w:t xml:space="preserve"> dans le cadre de l’organisation des ateliers de l’armée et a été développée par la </w:t>
      </w:r>
      <w:r>
        <w:rPr>
          <w:b/>
          <w:bCs/>
        </w:rPr>
        <w:t>Cegos</w:t>
      </w:r>
      <w:r>
        <w:rPr>
          <w:highlight w:val="green"/>
        </w:rPr>
        <w:fldChar w:fldCharType="begin"/>
      </w:r>
      <w:r>
        <w:rPr>
          <w:highlight w:val="green"/>
        </w:rPr>
        <w:instrText xml:space="preserve"> XE "</w:instrText>
      </w:r>
      <w:r>
        <w:rPr>
          <w:noProof/>
          <w:highlight w:val="green"/>
        </w:rPr>
        <w:instrText>Cegos</w:instrText>
      </w:r>
      <w:r>
        <w:rPr>
          <w:highlight w:val="green"/>
        </w:rPr>
        <w:instrText xml:space="preserve">" </w:instrText>
      </w:r>
      <w:r>
        <w:rPr>
          <w:highlight w:val="green"/>
        </w:rPr>
        <w:fldChar w:fldCharType="end"/>
      </w:r>
      <w:r>
        <w:t xml:space="preserve"> (1936), cabinet de conseils et formation pour les entreprises.</w:t>
      </w:r>
    </w:p>
    <w:p w14:paraId="7E827A7A" w14:textId="77777777" w:rsidR="005D07A6" w:rsidRDefault="00F42774">
      <w:pPr>
        <w:pStyle w:val="T4"/>
      </w:pPr>
      <w:r>
        <w:t>I.</w:t>
      </w:r>
      <w:r>
        <w:tab/>
        <w:t>Le contexte économique</w:t>
      </w:r>
    </w:p>
    <w:p w14:paraId="6EA19B0B" w14:textId="77777777" w:rsidR="005D07A6" w:rsidRDefault="00F42774">
      <w:pPr>
        <w:pStyle w:val="CT"/>
      </w:pPr>
      <w:r>
        <w:t>Pour comprendre la pertinence de ce modèle, il convient de le resituer dans le contexte où il est apparu. Dans les années 1930, les caractéristiques de l’environnement économique des entreprises sont les suivantes :</w:t>
      </w:r>
    </w:p>
    <w:p w14:paraId="48C5F799" w14:textId="77777777" w:rsidR="005D07A6" w:rsidRDefault="00F42774">
      <w:pPr>
        <w:pStyle w:val="ET"/>
      </w:pPr>
      <w:r>
        <w:rPr>
          <w:b/>
          <w:bCs/>
        </w:rPr>
        <w:t>économie de pénurie</w:t>
      </w:r>
      <w:r>
        <w:rPr>
          <w:highlight w:val="green"/>
        </w:rPr>
        <w:fldChar w:fldCharType="begin"/>
      </w:r>
      <w:r>
        <w:rPr>
          <w:highlight w:val="green"/>
        </w:rPr>
        <w:instrText xml:space="preserve"> XE "</w:instrText>
      </w:r>
      <w:r>
        <w:rPr>
          <w:noProof/>
          <w:highlight w:val="green"/>
        </w:rPr>
        <w:instrText>Économie</w:instrText>
      </w:r>
      <w:r>
        <w:rPr>
          <w:highlight w:val="green"/>
        </w:rPr>
        <w:instrText>:</w:instrText>
      </w:r>
      <w:r>
        <w:rPr>
          <w:noProof/>
          <w:highlight w:val="green"/>
        </w:rPr>
        <w:instrText>– de pénurie</w:instrText>
      </w:r>
      <w:r>
        <w:rPr>
          <w:highlight w:val="green"/>
        </w:rPr>
        <w:instrText xml:space="preserve">" </w:instrText>
      </w:r>
      <w:r>
        <w:rPr>
          <w:highlight w:val="green"/>
        </w:rPr>
        <w:fldChar w:fldCharType="end"/>
      </w:r>
      <w:r>
        <w:t xml:space="preserve"> (pénurie relative) ou </w:t>
      </w:r>
      <w:r>
        <w:rPr>
          <w:b/>
          <w:bCs/>
        </w:rPr>
        <w:t>économie de l’offre</w:t>
      </w:r>
      <w:r>
        <w:rPr>
          <w:highlight w:val="green"/>
        </w:rPr>
        <w:fldChar w:fldCharType="begin"/>
      </w:r>
      <w:r>
        <w:rPr>
          <w:highlight w:val="green"/>
        </w:rPr>
        <w:instrText xml:space="preserve"> XE "</w:instrText>
      </w:r>
      <w:r>
        <w:rPr>
          <w:noProof/>
          <w:highlight w:val="green"/>
        </w:rPr>
        <w:instrText>Économie</w:instrText>
      </w:r>
      <w:r>
        <w:rPr>
          <w:highlight w:val="green"/>
        </w:rPr>
        <w:instrText>:</w:instrText>
      </w:r>
      <w:r>
        <w:rPr>
          <w:noProof/>
          <w:highlight w:val="green"/>
        </w:rPr>
        <w:instrText>– de l’offre</w:instrText>
      </w:r>
      <w:r>
        <w:rPr>
          <w:highlight w:val="green"/>
        </w:rPr>
        <w:instrText xml:space="preserve">" </w:instrText>
      </w:r>
      <w:r>
        <w:rPr>
          <w:highlight w:val="green"/>
        </w:rPr>
        <w:fldChar w:fldCharType="end"/>
      </w:r>
      <w:r>
        <w:t xml:space="preserve"> (l’offre est inférieure à la demande) ;</w:t>
      </w:r>
    </w:p>
    <w:p w14:paraId="6DB87322" w14:textId="77777777" w:rsidR="005D07A6" w:rsidRDefault="00F42774">
      <w:pPr>
        <w:pStyle w:val="ET"/>
      </w:pPr>
      <w:r>
        <w:t>produits standardisés fabriqués en grandes séries ;</w:t>
      </w:r>
    </w:p>
    <w:p w14:paraId="5825D54A" w14:textId="77777777" w:rsidR="005D07A6" w:rsidRDefault="00F42774">
      <w:pPr>
        <w:pStyle w:val="ET"/>
      </w:pPr>
      <w:r>
        <w:lastRenderedPageBreak/>
        <w:t>procédés de fabrication stables ;</w:t>
      </w:r>
    </w:p>
    <w:p w14:paraId="3E744E20" w14:textId="77777777" w:rsidR="005D07A6" w:rsidRDefault="00F42774">
      <w:pPr>
        <w:pStyle w:val="ET"/>
      </w:pPr>
      <w:r>
        <w:t>prépondérance de la fonction production au sein des entreprises ;</w:t>
      </w:r>
    </w:p>
    <w:p w14:paraId="0EE5FE17" w14:textId="77777777" w:rsidR="005D07A6" w:rsidRDefault="00F42774">
      <w:pPr>
        <w:pStyle w:val="ET"/>
      </w:pPr>
      <w:r>
        <w:t>prépondérance des charges directes (matières premières, main-d’œuvre) dans les coûts ;</w:t>
      </w:r>
    </w:p>
    <w:p w14:paraId="28517161" w14:textId="77777777" w:rsidR="005D07A6" w:rsidRDefault="00F42774">
      <w:pPr>
        <w:pStyle w:val="ET"/>
      </w:pPr>
      <w:r>
        <w:t>gestion taylorienne (et fordienne) qui dissèque le travail humain et sépare les fonctions de conception, d’exécution et de contrôle (organisation scientifique du travail).</w:t>
      </w:r>
    </w:p>
    <w:p w14:paraId="5777527B" w14:textId="77777777" w:rsidR="005D07A6" w:rsidRDefault="00F42774">
      <w:pPr>
        <w:pStyle w:val="CT"/>
      </w:pPr>
      <w:r>
        <w:t>Ces hypothèses sont, en grande partie, remises en cause avec la crise du</w:t>
      </w:r>
      <w:r>
        <w:rPr>
          <w:b/>
          <w:bCs/>
        </w:rPr>
        <w:t xml:space="preserve"> fordisme</w:t>
      </w:r>
      <w:r>
        <w:rPr>
          <w:highlight w:val="green"/>
        </w:rPr>
        <w:fldChar w:fldCharType="begin"/>
      </w:r>
      <w:r>
        <w:rPr>
          <w:highlight w:val="green"/>
        </w:rPr>
        <w:instrText xml:space="preserve"> XE "</w:instrText>
      </w:r>
      <w:r>
        <w:rPr>
          <w:noProof/>
          <w:highlight w:val="green"/>
        </w:rPr>
        <w:instrText>Fordisme</w:instrText>
      </w:r>
      <w:r>
        <w:rPr>
          <w:highlight w:val="green"/>
        </w:rPr>
        <w:instrText xml:space="preserve">" </w:instrText>
      </w:r>
      <w:r>
        <w:rPr>
          <w:highlight w:val="green"/>
        </w:rPr>
        <w:fldChar w:fldCharType="end"/>
      </w:r>
      <w:r>
        <w:t xml:space="preserve"> à partir des années 1970 :</w:t>
      </w:r>
    </w:p>
    <w:p w14:paraId="17A41406" w14:textId="77777777" w:rsidR="005D07A6" w:rsidRDefault="00F42774">
      <w:pPr>
        <w:pStyle w:val="ET"/>
      </w:pPr>
      <w:r>
        <w:rPr>
          <w:b/>
          <w:bCs/>
        </w:rPr>
        <w:t>économie de la demande</w:t>
      </w:r>
      <w:r>
        <w:rPr>
          <w:highlight w:val="green"/>
        </w:rPr>
        <w:fldChar w:fldCharType="begin"/>
      </w:r>
      <w:r>
        <w:rPr>
          <w:highlight w:val="green"/>
        </w:rPr>
        <w:instrText xml:space="preserve"> XE "</w:instrText>
      </w:r>
      <w:r>
        <w:rPr>
          <w:noProof/>
          <w:highlight w:val="green"/>
        </w:rPr>
        <w:instrText>Économie</w:instrText>
      </w:r>
      <w:r>
        <w:rPr>
          <w:highlight w:val="green"/>
        </w:rPr>
        <w:instrText>:</w:instrText>
      </w:r>
      <w:r>
        <w:rPr>
          <w:noProof/>
          <w:highlight w:val="green"/>
        </w:rPr>
        <w:instrText>– de la demande</w:instrText>
      </w:r>
      <w:r>
        <w:rPr>
          <w:highlight w:val="green"/>
        </w:rPr>
        <w:instrText xml:space="preserve">" </w:instrText>
      </w:r>
      <w:r>
        <w:rPr>
          <w:highlight w:val="green"/>
        </w:rPr>
        <w:fldChar w:fldCharType="end"/>
      </w:r>
      <w:r>
        <w:t xml:space="preserve"> (l’offre est supérieure à la demande) ou économie de « relative abondance » ;</w:t>
      </w:r>
    </w:p>
    <w:p w14:paraId="0CA0EDC5" w14:textId="77777777" w:rsidR="005D07A6" w:rsidRDefault="00F42774">
      <w:pPr>
        <w:pStyle w:val="ET"/>
      </w:pPr>
      <w:r>
        <w:t>turbulence de l’environnement économique ;</w:t>
      </w:r>
    </w:p>
    <w:p w14:paraId="14CE4BE7" w14:textId="77777777" w:rsidR="005D07A6" w:rsidRDefault="00F42774">
      <w:pPr>
        <w:pStyle w:val="ET"/>
      </w:pPr>
      <w:r>
        <w:t>émergence de nouveaux facteurs de compétitivité (innovation, pays émergents) ;</w:t>
      </w:r>
    </w:p>
    <w:p w14:paraId="49428C46" w14:textId="77777777" w:rsidR="005D07A6" w:rsidRDefault="00F42774">
      <w:pPr>
        <w:pStyle w:val="ET"/>
      </w:pPr>
      <w:r>
        <w:t>éducation et diversification des besoins des consommateurs ;</w:t>
      </w:r>
    </w:p>
    <w:p w14:paraId="190C2B7B" w14:textId="77777777" w:rsidR="005D07A6" w:rsidRDefault="00F42774">
      <w:pPr>
        <w:pStyle w:val="ET"/>
      </w:pPr>
      <w:r>
        <w:t>concurrence accrue (elle ne porte plus seulement sur le prix et n’est plus cantonnée dans un espace restreint).</w:t>
      </w:r>
    </w:p>
    <w:p w14:paraId="02ECBD31" w14:textId="77777777" w:rsidR="005D07A6" w:rsidRDefault="00F42774">
      <w:pPr>
        <w:pStyle w:val="CTEspDessous"/>
      </w:pPr>
      <w:r>
        <w:t>La diversification des goûts des consommateurs oblige les entreprises à diversifier leur offre. Mais dans le même temps, l’incertitude accrue rend la possession de stocks coûteuse. La « chrono-compétition » conduit à augmenter la réactivité, à diminuer les délais, et à produire des lots de plus petites tailles. À long terme, on constate un raccourcissement de la durée de vie des produits.</w:t>
      </w:r>
    </w:p>
    <w:p w14:paraId="4F22BA6C" w14:textId="77777777" w:rsidR="005D07A6" w:rsidRDefault="00F42774">
      <w:pPr>
        <w:pStyle w:val="CTEspDessous"/>
      </w:pPr>
      <w:r>
        <w:t>Or, le modèle de calcul de coûts traditionnel a été conçu pour des entreprises industrielles dont les processus de production sont relativement stables dans le temps et dont les étapes de production correspondent à la constitution de stocks intermédiaires. Il en découle que l’évolution du contexte économique rend le modèle traditionnel de moins en moins pertinent.</w:t>
      </w:r>
    </w:p>
    <w:p w14:paraId="02568EDE" w14:textId="77777777" w:rsidR="005D07A6" w:rsidRDefault="00F42774">
      <w:pPr>
        <w:pStyle w:val="T4"/>
      </w:pPr>
      <w:r>
        <w:t>II.</w:t>
      </w:r>
      <w:r>
        <w:tab/>
        <w:t>Un modèle industriel</w:t>
      </w:r>
    </w:p>
    <w:p w14:paraId="4DB385A8" w14:textId="77777777" w:rsidR="005D07A6" w:rsidRDefault="00F42774">
      <w:pPr>
        <w:pStyle w:val="CTEspDessous"/>
      </w:pPr>
      <w:r>
        <w:t>Par ailleurs, il faut souligner que la méthode classique de calcul de coût a, dans l’esprit de ses diffuseurs, vocation à servir de modèle à toutes les entreprises, quelles qu’elles soient, d’où sa présence dans le PCG. Cependant, la force de cette méthode (son universalité) est également sa faiblesse (son manque d’adaptabilité).</w:t>
      </w:r>
    </w:p>
    <w:p w14:paraId="7B1B61E9" w14:textId="77777777" w:rsidR="005D07A6" w:rsidRDefault="00F42774">
      <w:pPr>
        <w:pStyle w:val="CT"/>
      </w:pPr>
      <w:r>
        <w:t>Ainsi par exemple, la méthode est développée avant tout pour répondre à des problématiques industrielles. Le schéma sous-jacent de production est le suivant :</w:t>
      </w:r>
    </w:p>
    <w:p w14:paraId="64881D5B" w14:textId="77777777" w:rsidR="005D07A6" w:rsidRDefault="00F42774">
      <w:pPr>
        <w:pStyle w:val="CT"/>
        <w:jc w:val="center"/>
      </w:pPr>
      <w:r>
        <w:rPr>
          <w:noProof/>
        </w:rPr>
        <w:drawing>
          <wp:inline distT="0" distB="0" distL="0" distR="0" wp14:anchorId="5006CB15" wp14:editId="2FA9C4C3">
            <wp:extent cx="4779678" cy="591363"/>
            <wp:effectExtent l="0" t="0" r="1905" b="0"/>
            <wp:docPr id="22" name="Image 22" descr="Pas de visualisation pour [UE202526_433_S1_fichiers/201211TIAA0200a.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as de visualisation pour [UE202526_433_S1_fichiers/201211TIAA0200a.png] !"/>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779678" cy="591363"/>
                    </a:xfrm>
                    <a:prstGeom prst="rect">
                      <a:avLst/>
                    </a:prstGeom>
                    <a:noFill/>
                    <a:ln>
                      <a:noFill/>
                    </a:ln>
                  </pic:spPr>
                </pic:pic>
              </a:graphicData>
            </a:graphic>
          </wp:inline>
        </w:drawing>
      </w:r>
      <w:r>
        <w:t>&lt;image&gt;201211TIAA0200a.png&lt;/image&gt;</w:t>
      </w:r>
    </w:p>
    <w:p w14:paraId="54DB13AF" w14:textId="77777777" w:rsidR="005D07A6" w:rsidRDefault="00F42774">
      <w:pPr>
        <w:pStyle w:val="CTEspDessous"/>
      </w:pPr>
      <w:r>
        <w:t>C’est cette vision sous-jacente du processus de production qui explique la répartition des charges indirectes en deux temps. Les centres principaux peuvent être reliés à l’une des trois étapes de production et le respect de ces étapes est primordial pour permettre d’évaluer correctement les stocks. Les centres auxiliaires, qui ne peuvent pas être reliés à l’une des trois étapes, doivent nécessairement être répartis sur les centres principaux.</w:t>
      </w:r>
    </w:p>
    <w:p w14:paraId="738F026E" w14:textId="77777777" w:rsidR="005D07A6" w:rsidRDefault="00F42774">
      <w:pPr>
        <w:pStyle w:val="CTEspDessous"/>
      </w:pPr>
      <w:r>
        <w:t>Ce modèle est donc simple et universel, et adapté à la plupart des entreprises industrielles classiques. La méthode des centres d’analyse est une méthode de calcul « clés en main ».</w:t>
      </w:r>
    </w:p>
    <w:p w14:paraId="505D1857" w14:textId="77777777" w:rsidR="005D07A6" w:rsidRDefault="00F42774">
      <w:pPr>
        <w:pStyle w:val="CTEspDessous"/>
      </w:pPr>
      <w:r>
        <w:t>Mais que penser de l’intérêt d’un tel modèle lorsque l’entreprise n’a pas de stocks ? C’est souvent le cas des entreprises du secteur tertiaire, et parfois celui d’entreprises industrielles qui mettent en œuvre les recommandations du modèle Toyota (ou « </w:t>
      </w:r>
      <w:r>
        <w:rPr>
          <w:b/>
          <w:bCs/>
        </w:rPr>
        <w:t>toyotisme</w:t>
      </w:r>
      <w:r>
        <w:t> »)</w:t>
      </w:r>
      <w:r>
        <w:rPr>
          <w:highlight w:val="green"/>
        </w:rPr>
        <w:fldChar w:fldCharType="begin"/>
      </w:r>
      <w:r>
        <w:rPr>
          <w:highlight w:val="green"/>
        </w:rPr>
        <w:instrText xml:space="preserve"> XE "</w:instrText>
      </w:r>
      <w:r>
        <w:rPr>
          <w:noProof/>
          <w:highlight w:val="green"/>
        </w:rPr>
        <w:instrText>Toyotisme</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Toyota</w:instrText>
      </w:r>
      <w:r>
        <w:rPr>
          <w:highlight w:val="green"/>
        </w:rPr>
        <w:instrText xml:space="preserve">" </w:instrText>
      </w:r>
      <w:r>
        <w:rPr>
          <w:highlight w:val="green"/>
        </w:rPr>
        <w:fldChar w:fldCharType="end"/>
      </w:r>
      <w:r>
        <w:t xml:space="preserve">. En effet, s’il n’y a pas de stocks de matières premières, de marchandises ou de produits finis, le découpage du processus de production en trois étapes n’a plus aucun fondement, et la notion de centres principaux </w:t>
      </w:r>
      <w:r>
        <w:lastRenderedPageBreak/>
        <w:t>disparaît. La répartition des charges indirectes en deux temps n’est plus indispensable. Le modèle est inadapté.</w:t>
      </w:r>
    </w:p>
    <w:p w14:paraId="1E7BAE7B" w14:textId="77777777" w:rsidR="005D07A6" w:rsidRDefault="00F42774">
      <w:pPr>
        <w:pStyle w:val="T4"/>
      </w:pPr>
      <w:r>
        <w:t>III.</w:t>
      </w:r>
      <w:r>
        <w:tab/>
        <w:t>Une ambition macroéconomique</w:t>
      </w:r>
    </w:p>
    <w:p w14:paraId="09E1553E" w14:textId="77777777" w:rsidR="005D07A6" w:rsidRDefault="00F42774">
      <w:pPr>
        <w:pStyle w:val="CTEspDessous"/>
      </w:pPr>
      <w:r>
        <w:t>Puisque la comptabilité de gestion est avant tout un outil de gestion interne à l’entreprise, il est légitime de se demander quel peut être l’intérêt de vouloir la normaliser. Cette question semble d’autant plus évidente aujourd’hui que l’on enseigne dès les premiers cours de comptabilité la différence entre comptabilité financière et comptabilité de gestion en insistant sur l’aspect obligatoire et standardisé de la première, opposé à l’aspect facultatif et libre de la seconde. Pire : la normalisation de la comptabilité de gestion qui a caractérisé le système soviétique est parfois présentée comme inadaptée à une économie de marché</w:t>
      </w:r>
      <w:r>
        <w:rPr>
          <w:highlight w:val="green"/>
        </w:rPr>
        <w:fldChar w:fldCharType="begin"/>
      </w:r>
      <w:r>
        <w:rPr>
          <w:highlight w:val="green"/>
        </w:rPr>
        <w:instrText xml:space="preserve"> XE "</w:instrText>
      </w:r>
      <w:r>
        <w:rPr>
          <w:noProof/>
          <w:highlight w:val="green"/>
        </w:rPr>
        <w:instrText>Économie</w:instrText>
      </w:r>
      <w:r>
        <w:rPr>
          <w:highlight w:val="green"/>
        </w:rPr>
        <w:instrText>:</w:instrText>
      </w:r>
      <w:r>
        <w:rPr>
          <w:noProof/>
          <w:highlight w:val="green"/>
        </w:rPr>
        <w:instrText>– de marché</w:instrText>
      </w:r>
      <w:r>
        <w:rPr>
          <w:highlight w:val="green"/>
        </w:rPr>
        <w:instrText xml:space="preserve">" </w:instrText>
      </w:r>
      <w:r>
        <w:rPr>
          <w:highlight w:val="green"/>
        </w:rPr>
        <w:fldChar w:fldCharType="end"/>
      </w:r>
      <w:r>
        <w:t>.</w:t>
      </w:r>
    </w:p>
    <w:p w14:paraId="248FD39D" w14:textId="77777777" w:rsidR="005D07A6" w:rsidRDefault="00F42774">
      <w:pPr>
        <w:pStyle w:val="CTEspDessous"/>
      </w:pPr>
      <w:r>
        <w:t xml:space="preserve">Cette vision des choses oublie pourtant un élément fondamental : au début du </w:t>
      </w:r>
      <w:r>
        <w:rPr>
          <w:smallCaps/>
        </w:rPr>
        <w:t>xx</w:t>
      </w:r>
      <w:r>
        <w:rPr>
          <w:vertAlign w:val="superscript"/>
        </w:rPr>
        <w:t>e</w:t>
      </w:r>
      <w:r>
        <w:t xml:space="preserve"> siècle, </w:t>
      </w:r>
      <w:r>
        <w:rPr>
          <w:b/>
          <w:bCs/>
        </w:rPr>
        <w:t>la volonté de normaliser</w:t>
      </w:r>
      <w:r>
        <w:rPr>
          <w:b/>
          <w:bCs/>
          <w:highlight w:val="green"/>
        </w:rPr>
        <w:fldChar w:fldCharType="begin"/>
      </w:r>
      <w:r>
        <w:rPr>
          <w:b/>
          <w:bCs/>
          <w:highlight w:val="green"/>
        </w:rPr>
        <w:instrText xml:space="preserve"> XE "</w:instrText>
      </w:r>
      <w:r>
        <w:rPr>
          <w:b/>
          <w:bCs/>
          <w:noProof/>
          <w:highlight w:val="green"/>
        </w:rPr>
        <w:instrText>Normalisation</w:instrText>
      </w:r>
      <w:r>
        <w:rPr>
          <w:b/>
          <w:bCs/>
          <w:highlight w:val="green"/>
        </w:rPr>
        <w:instrText xml:space="preserve">" </w:instrText>
      </w:r>
      <w:r>
        <w:rPr>
          <w:b/>
          <w:bCs/>
          <w:highlight w:val="green"/>
        </w:rPr>
        <w:fldChar w:fldCharType="end"/>
      </w:r>
      <w:r>
        <w:rPr>
          <w:b/>
          <w:bCs/>
        </w:rPr>
        <w:t xml:space="preserve"> la comptabilité de gestion</w:t>
      </w:r>
      <w:r>
        <w:t xml:space="preserve"> est conçue comme un outil </w:t>
      </w:r>
      <w:r>
        <w:rPr>
          <w:b/>
          <w:bCs/>
        </w:rPr>
        <w:t>d’amélioration de l’efficience des marchés</w:t>
      </w:r>
      <w:r>
        <w:rPr>
          <w:highlight w:val="green"/>
        </w:rPr>
        <w:fldChar w:fldCharType="begin"/>
      </w:r>
      <w:r>
        <w:rPr>
          <w:highlight w:val="green"/>
        </w:rPr>
        <w:instrText xml:space="preserve"> XE "</w:instrText>
      </w:r>
      <w:r>
        <w:rPr>
          <w:noProof/>
          <w:highlight w:val="green"/>
        </w:rPr>
        <w:instrText>Efficience</w:instrText>
      </w:r>
      <w:r>
        <w:rPr>
          <w:highlight w:val="green"/>
        </w:rPr>
        <w:instrText>:</w:instrText>
      </w:r>
      <w:r>
        <w:rPr>
          <w:noProof/>
          <w:highlight w:val="green"/>
        </w:rPr>
        <w:instrText>– des marchés</w:instrText>
      </w:r>
      <w:r>
        <w:rPr>
          <w:highlight w:val="green"/>
        </w:rPr>
        <w:instrText xml:space="preserve">" </w:instrText>
      </w:r>
      <w:r>
        <w:rPr>
          <w:highlight w:val="green"/>
        </w:rPr>
        <w:fldChar w:fldCharType="end"/>
      </w:r>
      <w:r>
        <w:t>. En effet, si deux entreprises (admettons qu’elles soient rigoureusement identiques pour les besoins de la démonstration) n’utilisent pas la même méthode de calcul de leur coût de revient, elles seront tentées de proposer leurs produits à des prix différents (si elles n’utilisent pas les mêmes répartitions des charges indirectes). Les consommateurs vont alors privilégier une entreprise au détriment d’une autre, non pas pour des raisons économiquement fondées, mais uniquement parce que les outils de gestion sont différents. Il en découle une allocation non optimale des ressources.</w:t>
      </w:r>
    </w:p>
    <w:p w14:paraId="3CB5E854" w14:textId="77777777" w:rsidR="005D07A6" w:rsidRDefault="00F42774">
      <w:pPr>
        <w:pStyle w:val="CTEspDessous"/>
      </w:pPr>
      <w:r>
        <w:t>Normaliser la comptabilité de gestion est alors perçu comme un moyen d’améliorer le fonctionnement des marchés, en améliorant la qualité de l’information perçue (à travers le prix) par le consommateur. Dans une certaine mesure, la remise en cause du modèle traditionnel de calcul des coûts est liée à l’abandon de cette ambition (utopie ?) macroéconomique.</w:t>
      </w:r>
    </w:p>
    <w:p w14:paraId="299EC47F" w14:textId="77777777" w:rsidR="005D07A6" w:rsidRDefault="00F42774">
      <w:pPr>
        <w:pStyle w:val="T3"/>
      </w:pPr>
      <w:r>
        <w:t>section 3.</w:t>
      </w:r>
      <w:r>
        <w:tab/>
        <w:t>Les risques liés au calcul d’un coût complet</w:t>
      </w:r>
    </w:p>
    <w:p w14:paraId="4AE4F7C8" w14:textId="77777777" w:rsidR="005D07A6" w:rsidRDefault="00F42774">
      <w:pPr>
        <w:pStyle w:val="T4"/>
      </w:pPr>
      <w:r>
        <w:t>I.</w:t>
      </w:r>
      <w:r>
        <w:tab/>
        <w:t>L’importance croissante des charges indirectes</w:t>
      </w:r>
    </w:p>
    <w:p w14:paraId="4D027D9C" w14:textId="77777777" w:rsidR="005D07A6" w:rsidRDefault="00F42774">
      <w:pPr>
        <w:pStyle w:val="CTEspDessous"/>
      </w:pPr>
      <w:r>
        <w:t>La méthode traditionnelle s’est développée dans un contexte économique dans lequel les charges directes représentaient une part prépondérante de l’ensemble des charges des entreprises.</w:t>
      </w:r>
    </w:p>
    <w:p w14:paraId="7399AE39" w14:textId="77777777" w:rsidR="005D07A6" w:rsidRDefault="00F42774">
      <w:pPr>
        <w:pStyle w:val="CTEspDessous"/>
      </w:pPr>
      <w:r>
        <w:t xml:space="preserve">Cependant, à partir des années 1970-1980, la production s’est caractérisée par une différenciation poussée des produits, une diversité de leurs tailles, une diminution du travail humain, ainsi que par un passage d’une </w:t>
      </w:r>
      <w:r>
        <w:rPr>
          <w:b/>
          <w:bCs/>
        </w:rPr>
        <w:t>économie de l’offre</w:t>
      </w:r>
      <w:r>
        <w:rPr>
          <w:highlight w:val="green"/>
        </w:rPr>
        <w:fldChar w:fldCharType="begin"/>
      </w:r>
      <w:r>
        <w:rPr>
          <w:highlight w:val="green"/>
        </w:rPr>
        <w:instrText xml:space="preserve"> XE "</w:instrText>
      </w:r>
      <w:r>
        <w:rPr>
          <w:noProof/>
          <w:highlight w:val="green"/>
        </w:rPr>
        <w:instrText>Économie</w:instrText>
      </w:r>
      <w:r>
        <w:rPr>
          <w:highlight w:val="green"/>
        </w:rPr>
        <w:instrText>:</w:instrText>
      </w:r>
      <w:r>
        <w:rPr>
          <w:noProof/>
          <w:highlight w:val="green"/>
        </w:rPr>
        <w:instrText>– de l’offre</w:instrText>
      </w:r>
      <w:r>
        <w:rPr>
          <w:highlight w:val="green"/>
        </w:rPr>
        <w:instrText xml:space="preserve">" </w:instrText>
      </w:r>
      <w:r>
        <w:rPr>
          <w:highlight w:val="green"/>
        </w:rPr>
        <w:fldChar w:fldCharType="end"/>
      </w:r>
      <w:r>
        <w:t xml:space="preserve"> à une </w:t>
      </w:r>
      <w:r>
        <w:rPr>
          <w:b/>
          <w:bCs/>
        </w:rPr>
        <w:t>économie de la demande</w:t>
      </w:r>
      <w:r>
        <w:rPr>
          <w:highlight w:val="green"/>
        </w:rPr>
        <w:fldChar w:fldCharType="begin"/>
      </w:r>
      <w:r>
        <w:rPr>
          <w:highlight w:val="green"/>
        </w:rPr>
        <w:instrText xml:space="preserve"> XE "</w:instrText>
      </w:r>
      <w:r>
        <w:rPr>
          <w:noProof/>
          <w:highlight w:val="green"/>
        </w:rPr>
        <w:instrText>Économie</w:instrText>
      </w:r>
      <w:r>
        <w:rPr>
          <w:highlight w:val="green"/>
        </w:rPr>
        <w:instrText>:</w:instrText>
      </w:r>
      <w:r>
        <w:rPr>
          <w:noProof/>
          <w:highlight w:val="green"/>
        </w:rPr>
        <w:instrText>– de la demande</w:instrText>
      </w:r>
      <w:r>
        <w:rPr>
          <w:highlight w:val="green"/>
        </w:rPr>
        <w:instrText xml:space="preserve">" </w:instrText>
      </w:r>
      <w:r>
        <w:rPr>
          <w:highlight w:val="green"/>
        </w:rPr>
        <w:fldChar w:fldCharType="end"/>
      </w:r>
      <w:r>
        <w:t xml:space="preserve"> (saturation des marchés, exigence des consommateurs, etc.).</w:t>
      </w:r>
    </w:p>
    <w:p w14:paraId="69BDB7C4" w14:textId="77777777" w:rsidR="005D07A6" w:rsidRDefault="00F42774">
      <w:pPr>
        <w:pStyle w:val="debutfilet"/>
      </w:pPr>
      <w:r>
        <w:t>Remarque</w:t>
      </w:r>
    </w:p>
    <w:p w14:paraId="2E3FCC2C" w14:textId="77777777" w:rsidR="005D07A6" w:rsidRDefault="00F42774">
      <w:pPr>
        <w:pStyle w:val="LibelleRubrique"/>
      </w:pPr>
      <w:r>
        <w:t>Remarque</w:t>
      </w:r>
    </w:p>
    <w:p w14:paraId="60887206" w14:textId="77777777" w:rsidR="005D07A6" w:rsidRDefault="00F42774">
      <w:pPr>
        <w:pStyle w:val="CT"/>
      </w:pPr>
      <w:r>
        <w:t xml:space="preserve">Ce qui était vrai dans la première moitié du </w:t>
      </w:r>
      <w:r>
        <w:rPr>
          <w:smallCaps/>
        </w:rPr>
        <w:t>xx</w:t>
      </w:r>
      <w:r>
        <w:rPr>
          <w:vertAlign w:val="superscript"/>
        </w:rPr>
        <w:t>e</w:t>
      </w:r>
      <w:r>
        <w:t> siècle dans les pays occidentaux l’est sans doute encore actuellement dans nombre de pays en développement.</w:t>
      </w:r>
    </w:p>
    <w:p w14:paraId="6D8B394D" w14:textId="77777777" w:rsidR="005D07A6" w:rsidRDefault="00F42774">
      <w:pPr>
        <w:pStyle w:val="finfilet"/>
      </w:pPr>
      <w:r>
        <w:t>Fin Remarque</w:t>
      </w:r>
    </w:p>
    <w:p w14:paraId="1122391C" w14:textId="77777777" w:rsidR="005D07A6" w:rsidRDefault="00F42774">
      <w:pPr>
        <w:pStyle w:val="CTEspDessous"/>
      </w:pPr>
      <w:r>
        <w:t>En conséquence, la prépondérance de la main-d’œuvre directe disparaît et des fonctions autres que la production émergent (les fonctions recherche et développement, marketing, maintenance, gestion de la qualité, logistique, etc., deviennent prépondérantes).</w:t>
      </w:r>
    </w:p>
    <w:tbl>
      <w:tblPr>
        <w:tblW w:w="5959" w:type="dxa"/>
        <w:tblInd w:w="1701" w:type="dxa"/>
        <w:tblLook w:val="04A0" w:firstRow="1" w:lastRow="0" w:firstColumn="1" w:lastColumn="0" w:noHBand="0" w:noVBand="1"/>
      </w:tblPr>
      <w:tblGrid>
        <w:gridCol w:w="2279"/>
        <w:gridCol w:w="1380"/>
        <w:gridCol w:w="2300"/>
      </w:tblGrid>
      <w:tr w:rsidR="005D07A6" w14:paraId="068978F5" w14:textId="77777777">
        <w:tc>
          <w:tcPr>
            <w:tcW w:w="171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8F59DA4" w14:textId="77777777" w:rsidR="005D07A6" w:rsidRDefault="00F42774">
            <w:pPr>
              <w:pStyle w:val="TA1"/>
              <w:jc w:val="center"/>
              <w:rPr>
                <w:rFonts w:eastAsiaTheme="minorEastAsia"/>
              </w:rPr>
            </w:pPr>
            <w:r>
              <w:rPr>
                <w:b/>
                <w:bCs/>
              </w:rPr>
              <w:t xml:space="preserve">Début du </w:t>
            </w:r>
            <w:r>
              <w:rPr>
                <w:b/>
                <w:bCs/>
                <w:smallCaps/>
              </w:rPr>
              <w:t>xx</w:t>
            </w:r>
            <w:r>
              <w:rPr>
                <w:b/>
                <w:bCs/>
                <w:vertAlign w:val="superscript"/>
              </w:rPr>
              <w:t>e</w:t>
            </w:r>
            <w:r>
              <w:rPr>
                <w:b/>
                <w:bCs/>
              </w:rPr>
              <w:t> siècle</w:t>
            </w:r>
          </w:p>
        </w:tc>
        <w:tc>
          <w:tcPr>
            <w:tcW w:w="1035" w:type="dxa"/>
            <w:tcBorders>
              <w:top w:val="nil"/>
              <w:left w:val="nil"/>
              <w:bottom w:val="nil"/>
              <w:right w:val="nil"/>
            </w:tcBorders>
            <w:tcMar>
              <w:top w:w="0" w:type="dxa"/>
              <w:left w:w="2" w:type="dxa"/>
              <w:bottom w:w="0" w:type="dxa"/>
              <w:right w:w="2" w:type="dxa"/>
            </w:tcMar>
            <w:hideMark/>
          </w:tcPr>
          <w:p w14:paraId="31AD9ECE" w14:textId="77777777" w:rsidR="005D07A6" w:rsidRDefault="005D07A6"/>
        </w:tc>
        <w:tc>
          <w:tcPr>
            <w:tcW w:w="172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CB212D5" w14:textId="77777777" w:rsidR="005D07A6" w:rsidRDefault="00F42774">
            <w:pPr>
              <w:pStyle w:val="TA1"/>
              <w:jc w:val="center"/>
              <w:rPr>
                <w:rFonts w:eastAsiaTheme="minorEastAsia"/>
              </w:rPr>
            </w:pPr>
            <w:r>
              <w:rPr>
                <w:b/>
                <w:bCs/>
              </w:rPr>
              <w:t xml:space="preserve">Fin du </w:t>
            </w:r>
            <w:r>
              <w:rPr>
                <w:b/>
                <w:bCs/>
                <w:smallCaps/>
              </w:rPr>
              <w:t>xx</w:t>
            </w:r>
            <w:r>
              <w:rPr>
                <w:b/>
                <w:bCs/>
                <w:vertAlign w:val="superscript"/>
              </w:rPr>
              <w:t>e</w:t>
            </w:r>
            <w:r>
              <w:rPr>
                <w:b/>
                <w:bCs/>
              </w:rPr>
              <w:t> siècle</w:t>
            </w:r>
          </w:p>
        </w:tc>
      </w:tr>
      <w:tr w:rsidR="005D07A6" w14:paraId="64421C05" w14:textId="77777777">
        <w:tc>
          <w:tcPr>
            <w:tcW w:w="171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2F200FB" w14:textId="77777777" w:rsidR="005D07A6" w:rsidRDefault="00F42774">
            <w:pPr>
              <w:pStyle w:val="TA1"/>
              <w:jc w:val="center"/>
              <w:rPr>
                <w:rFonts w:eastAsiaTheme="minorEastAsia"/>
              </w:rPr>
            </w:pPr>
            <w:r>
              <w:t>Charges directes</w:t>
            </w:r>
          </w:p>
        </w:tc>
        <w:tc>
          <w:tcPr>
            <w:tcW w:w="1035" w:type="dxa"/>
            <w:tcBorders>
              <w:top w:val="nil"/>
              <w:left w:val="single" w:sz="4" w:space="0" w:color="auto"/>
              <w:bottom w:val="nil"/>
              <w:right w:val="single" w:sz="4" w:space="0" w:color="auto"/>
            </w:tcBorders>
            <w:tcMar>
              <w:top w:w="0" w:type="dxa"/>
              <w:left w:w="2" w:type="dxa"/>
              <w:bottom w:w="0" w:type="dxa"/>
              <w:right w:w="2" w:type="dxa"/>
            </w:tcMar>
            <w:hideMark/>
          </w:tcPr>
          <w:p w14:paraId="791C7CF0" w14:textId="77777777" w:rsidR="005D07A6" w:rsidRDefault="005D07A6"/>
        </w:tc>
        <w:tc>
          <w:tcPr>
            <w:tcW w:w="17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4F208A2" w14:textId="77777777" w:rsidR="005D07A6" w:rsidRDefault="00F42774">
            <w:pPr>
              <w:pStyle w:val="TA1"/>
              <w:jc w:val="center"/>
              <w:rPr>
                <w:rFonts w:eastAsiaTheme="minorEastAsia"/>
              </w:rPr>
            </w:pPr>
            <w:r>
              <w:t>Charges directes</w:t>
            </w:r>
          </w:p>
        </w:tc>
      </w:tr>
      <w:tr w:rsidR="005D07A6" w14:paraId="4075AB67" w14:textId="77777777">
        <w:tc>
          <w:tcPr>
            <w:tcW w:w="1710" w:type="dxa"/>
            <w:tcBorders>
              <w:top w:val="nil"/>
              <w:left w:val="single" w:sz="4" w:space="0" w:color="auto"/>
              <w:bottom w:val="nil"/>
              <w:right w:val="single" w:sz="4" w:space="0" w:color="auto"/>
            </w:tcBorders>
            <w:tcMar>
              <w:top w:w="0" w:type="dxa"/>
              <w:left w:w="2" w:type="dxa"/>
              <w:bottom w:w="0" w:type="dxa"/>
              <w:right w:w="2" w:type="dxa"/>
            </w:tcMar>
            <w:hideMark/>
          </w:tcPr>
          <w:p w14:paraId="5739DE9B" w14:textId="77777777" w:rsidR="005D07A6" w:rsidRDefault="005D07A6"/>
        </w:tc>
        <w:tc>
          <w:tcPr>
            <w:tcW w:w="1035" w:type="dxa"/>
            <w:tcBorders>
              <w:top w:val="nil"/>
              <w:left w:val="single" w:sz="4" w:space="0" w:color="auto"/>
              <w:bottom w:val="nil"/>
              <w:right w:val="single" w:sz="4" w:space="0" w:color="auto"/>
            </w:tcBorders>
            <w:tcMar>
              <w:top w:w="0" w:type="dxa"/>
              <w:left w:w="2" w:type="dxa"/>
              <w:bottom w:w="0" w:type="dxa"/>
              <w:right w:w="2" w:type="dxa"/>
            </w:tcMar>
            <w:hideMark/>
          </w:tcPr>
          <w:p w14:paraId="621DC4A3" w14:textId="77777777" w:rsidR="005D07A6" w:rsidRDefault="005D07A6"/>
        </w:tc>
        <w:tc>
          <w:tcPr>
            <w:tcW w:w="17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B0D835F" w14:textId="77777777" w:rsidR="005D07A6" w:rsidRDefault="005D07A6"/>
        </w:tc>
      </w:tr>
      <w:tr w:rsidR="005D07A6" w14:paraId="35130B74" w14:textId="77777777">
        <w:tc>
          <w:tcPr>
            <w:tcW w:w="1710" w:type="dxa"/>
            <w:tcBorders>
              <w:top w:val="nil"/>
              <w:left w:val="single" w:sz="4" w:space="0" w:color="auto"/>
              <w:bottom w:val="nil"/>
              <w:right w:val="single" w:sz="4" w:space="0" w:color="auto"/>
            </w:tcBorders>
            <w:tcMar>
              <w:top w:w="0" w:type="dxa"/>
              <w:left w:w="2" w:type="dxa"/>
              <w:bottom w:w="0" w:type="dxa"/>
              <w:right w:w="2" w:type="dxa"/>
            </w:tcMar>
            <w:hideMark/>
          </w:tcPr>
          <w:p w14:paraId="7D3D6ABA" w14:textId="77777777" w:rsidR="005D07A6" w:rsidRDefault="005D07A6"/>
        </w:tc>
        <w:tc>
          <w:tcPr>
            <w:tcW w:w="1035" w:type="dxa"/>
            <w:tcBorders>
              <w:top w:val="nil"/>
              <w:left w:val="single" w:sz="4" w:space="0" w:color="auto"/>
              <w:bottom w:val="nil"/>
              <w:right w:val="single" w:sz="4" w:space="0" w:color="auto"/>
            </w:tcBorders>
            <w:tcMar>
              <w:top w:w="0" w:type="dxa"/>
              <w:left w:w="2" w:type="dxa"/>
              <w:bottom w:w="0" w:type="dxa"/>
              <w:right w:w="2" w:type="dxa"/>
            </w:tcMar>
            <w:hideMark/>
          </w:tcPr>
          <w:p w14:paraId="38345962" w14:textId="77777777" w:rsidR="005D07A6" w:rsidRDefault="005D07A6"/>
        </w:tc>
        <w:tc>
          <w:tcPr>
            <w:tcW w:w="1725" w:type="dxa"/>
            <w:tcBorders>
              <w:top w:val="nil"/>
              <w:left w:val="single" w:sz="4" w:space="0" w:color="auto"/>
              <w:bottom w:val="nil"/>
              <w:right w:val="single" w:sz="4" w:space="0" w:color="auto"/>
            </w:tcBorders>
            <w:tcMar>
              <w:top w:w="0" w:type="dxa"/>
              <w:left w:w="2" w:type="dxa"/>
              <w:bottom w:w="0" w:type="dxa"/>
              <w:right w:w="2" w:type="dxa"/>
            </w:tcMar>
            <w:hideMark/>
          </w:tcPr>
          <w:p w14:paraId="4B55C929" w14:textId="77777777" w:rsidR="005D07A6" w:rsidRDefault="00F42774">
            <w:pPr>
              <w:pStyle w:val="TA1"/>
              <w:jc w:val="center"/>
              <w:rPr>
                <w:rFonts w:eastAsiaTheme="minorEastAsia"/>
              </w:rPr>
            </w:pPr>
            <w:r>
              <w:t>Charges indirectes</w:t>
            </w:r>
          </w:p>
        </w:tc>
      </w:tr>
      <w:tr w:rsidR="005D07A6" w14:paraId="3B91A630" w14:textId="77777777">
        <w:tc>
          <w:tcPr>
            <w:tcW w:w="1710" w:type="dxa"/>
            <w:tcBorders>
              <w:top w:val="nil"/>
              <w:left w:val="single" w:sz="4" w:space="0" w:color="auto"/>
              <w:bottom w:val="nil"/>
              <w:right w:val="single" w:sz="4" w:space="0" w:color="auto"/>
            </w:tcBorders>
            <w:tcMar>
              <w:top w:w="0" w:type="dxa"/>
              <w:left w:w="2" w:type="dxa"/>
              <w:bottom w:w="0" w:type="dxa"/>
              <w:right w:w="2" w:type="dxa"/>
            </w:tcMar>
            <w:hideMark/>
          </w:tcPr>
          <w:p w14:paraId="36AB27A6" w14:textId="77777777" w:rsidR="005D07A6" w:rsidRDefault="005D07A6"/>
        </w:tc>
        <w:tc>
          <w:tcPr>
            <w:tcW w:w="1035" w:type="dxa"/>
            <w:tcBorders>
              <w:top w:val="nil"/>
              <w:left w:val="single" w:sz="4" w:space="0" w:color="auto"/>
              <w:bottom w:val="nil"/>
              <w:right w:val="single" w:sz="4" w:space="0" w:color="auto"/>
            </w:tcBorders>
            <w:tcMar>
              <w:top w:w="0" w:type="dxa"/>
              <w:left w:w="2" w:type="dxa"/>
              <w:bottom w:w="0" w:type="dxa"/>
              <w:right w:w="2" w:type="dxa"/>
            </w:tcMar>
            <w:hideMark/>
          </w:tcPr>
          <w:p w14:paraId="5F1CE238" w14:textId="77777777" w:rsidR="005D07A6" w:rsidRDefault="005D07A6"/>
        </w:tc>
        <w:tc>
          <w:tcPr>
            <w:tcW w:w="1725" w:type="dxa"/>
            <w:tcBorders>
              <w:top w:val="nil"/>
              <w:left w:val="single" w:sz="4" w:space="0" w:color="auto"/>
              <w:bottom w:val="nil"/>
              <w:right w:val="single" w:sz="4" w:space="0" w:color="auto"/>
            </w:tcBorders>
            <w:tcMar>
              <w:top w:w="0" w:type="dxa"/>
              <w:left w:w="2" w:type="dxa"/>
              <w:bottom w:w="0" w:type="dxa"/>
              <w:right w:w="2" w:type="dxa"/>
            </w:tcMar>
            <w:hideMark/>
          </w:tcPr>
          <w:p w14:paraId="721F7327" w14:textId="77777777" w:rsidR="005D07A6" w:rsidRDefault="005D07A6"/>
        </w:tc>
      </w:tr>
      <w:tr w:rsidR="005D07A6" w14:paraId="3E7BD33E" w14:textId="77777777">
        <w:tc>
          <w:tcPr>
            <w:tcW w:w="171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DA16590" w14:textId="77777777" w:rsidR="005D07A6" w:rsidRDefault="005D07A6"/>
        </w:tc>
        <w:tc>
          <w:tcPr>
            <w:tcW w:w="1035" w:type="dxa"/>
            <w:tcBorders>
              <w:top w:val="nil"/>
              <w:left w:val="single" w:sz="4" w:space="0" w:color="auto"/>
              <w:bottom w:val="nil"/>
              <w:right w:val="single" w:sz="4" w:space="0" w:color="auto"/>
            </w:tcBorders>
            <w:tcMar>
              <w:top w:w="0" w:type="dxa"/>
              <w:left w:w="2" w:type="dxa"/>
              <w:bottom w:w="0" w:type="dxa"/>
              <w:right w:w="2" w:type="dxa"/>
            </w:tcMar>
            <w:hideMark/>
          </w:tcPr>
          <w:p w14:paraId="13C23542" w14:textId="77777777" w:rsidR="005D07A6" w:rsidRDefault="005D07A6"/>
        </w:tc>
        <w:tc>
          <w:tcPr>
            <w:tcW w:w="1725" w:type="dxa"/>
            <w:tcBorders>
              <w:top w:val="nil"/>
              <w:left w:val="single" w:sz="4" w:space="0" w:color="auto"/>
              <w:bottom w:val="nil"/>
              <w:right w:val="single" w:sz="4" w:space="0" w:color="auto"/>
            </w:tcBorders>
            <w:tcMar>
              <w:top w:w="0" w:type="dxa"/>
              <w:left w:w="2" w:type="dxa"/>
              <w:bottom w:w="0" w:type="dxa"/>
              <w:right w:w="2" w:type="dxa"/>
            </w:tcMar>
            <w:hideMark/>
          </w:tcPr>
          <w:p w14:paraId="1C81E6B1" w14:textId="77777777" w:rsidR="005D07A6" w:rsidRDefault="005D07A6"/>
        </w:tc>
      </w:tr>
      <w:tr w:rsidR="005D07A6" w14:paraId="6B44309E" w14:textId="77777777">
        <w:tc>
          <w:tcPr>
            <w:tcW w:w="17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F63BB2E" w14:textId="77777777" w:rsidR="005D07A6" w:rsidRDefault="00F42774">
            <w:pPr>
              <w:pStyle w:val="TA1"/>
              <w:jc w:val="center"/>
              <w:rPr>
                <w:rFonts w:eastAsiaTheme="minorEastAsia"/>
              </w:rPr>
            </w:pPr>
            <w:r>
              <w:t>Charges indirectes</w:t>
            </w:r>
          </w:p>
        </w:tc>
        <w:tc>
          <w:tcPr>
            <w:tcW w:w="1035" w:type="dxa"/>
            <w:tcBorders>
              <w:top w:val="nil"/>
              <w:left w:val="single" w:sz="4" w:space="0" w:color="auto"/>
              <w:bottom w:val="nil"/>
              <w:right w:val="single" w:sz="4" w:space="0" w:color="auto"/>
            </w:tcBorders>
            <w:tcMar>
              <w:top w:w="0" w:type="dxa"/>
              <w:left w:w="2" w:type="dxa"/>
              <w:bottom w:w="0" w:type="dxa"/>
              <w:right w:w="2" w:type="dxa"/>
            </w:tcMar>
            <w:hideMark/>
          </w:tcPr>
          <w:p w14:paraId="20109C65" w14:textId="77777777" w:rsidR="005D07A6" w:rsidRDefault="005D07A6"/>
        </w:tc>
        <w:tc>
          <w:tcPr>
            <w:tcW w:w="17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84C8983" w14:textId="77777777" w:rsidR="005D07A6" w:rsidRDefault="005D07A6"/>
        </w:tc>
      </w:tr>
    </w:tbl>
    <w:p w14:paraId="320A08EC" w14:textId="77777777" w:rsidR="005D07A6" w:rsidRDefault="00F42774">
      <w:pPr>
        <w:pStyle w:val="CTEspDessous"/>
        <w:rPr>
          <w:rFonts w:eastAsiaTheme="minorEastAsia"/>
        </w:rPr>
      </w:pPr>
      <w:r>
        <w:t xml:space="preserve">Pour reprendre une expression de Philippe </w:t>
      </w:r>
      <w:r>
        <w:rPr>
          <w:b/>
          <w:bCs/>
        </w:rPr>
        <w:t>Lorino</w:t>
      </w:r>
      <w:r>
        <w:rPr>
          <w:highlight w:val="green"/>
        </w:rPr>
        <w:fldChar w:fldCharType="begin"/>
      </w:r>
      <w:r>
        <w:rPr>
          <w:highlight w:val="green"/>
        </w:rPr>
        <w:instrText xml:space="preserve"> XE "</w:instrText>
      </w:r>
      <w:r>
        <w:rPr>
          <w:noProof/>
          <w:highlight w:val="green"/>
        </w:rPr>
        <w:instrText>Lorino</w:instrText>
      </w:r>
      <w:r>
        <w:rPr>
          <w:highlight w:val="green"/>
        </w:rPr>
        <w:instrText xml:space="preserve">" </w:instrText>
      </w:r>
      <w:r>
        <w:rPr>
          <w:highlight w:val="green"/>
        </w:rPr>
        <w:fldChar w:fldCharType="end"/>
      </w:r>
      <w:r>
        <w:t>, le renversement de la pyramide des coûts fait que les coûts indirects sont majoritaires et que la « pyramide repose sur son sommet ».</w:t>
      </w:r>
    </w:p>
    <w:p w14:paraId="46051263" w14:textId="77777777" w:rsidR="005D07A6" w:rsidRDefault="00F42774">
      <w:pPr>
        <w:pStyle w:val="CTEspDessous"/>
      </w:pPr>
      <w:r>
        <w:t>Si cette évolution doit être relativisée (selon les secteurs d’activité, les pays, les entreprises, etc.), il n’en demeure pas moins que plus les charges indirectes représentent une part importante des charges d’une entreprise, plus le calcul d’un coût complet est délicat à effectuer (puisque les charges indirectes sont par définition difficiles à attribuer aux produits). L’arbitraire pouvant exister pour le traitement et l’imputation des charges indirectes, il est admissible quand les charges indirectes ne représentent qu’une faible proportion des charges totales, mais provoque de graves distorsions lorsqu’elles représentent une part importante des charges totales.</w:t>
      </w:r>
    </w:p>
    <w:p w14:paraId="4B9F32D6" w14:textId="77777777" w:rsidR="005D07A6" w:rsidRDefault="00F42774">
      <w:pPr>
        <w:pStyle w:val="CTEspDessous"/>
      </w:pPr>
      <w:r>
        <w:t>Si cette critique ne vise pas directement la méthode traditionnelle de calcul du coût complet, elle souligne la difficulté accrue qu’il peut y avoir à imposer une méthode normalisée de calcul de coût. Elle accentue les problèmes liés à l’application, dans certaines entreprises, de la méthode traditionnelle sans analyse préalable sérieuse de la nature des coûts.</w:t>
      </w:r>
    </w:p>
    <w:p w14:paraId="356E1189" w14:textId="77777777" w:rsidR="005D07A6" w:rsidRDefault="00F42774">
      <w:pPr>
        <w:pStyle w:val="T4"/>
      </w:pPr>
      <w:r>
        <w:t>II.</w:t>
      </w:r>
      <w:r>
        <w:tab/>
        <w:t>L’hétérogénéité des centres d’analyse</w:t>
      </w:r>
    </w:p>
    <w:p w14:paraId="5AA38DC8" w14:textId="77777777" w:rsidR="005D07A6" w:rsidRDefault="00F42774">
      <w:pPr>
        <w:pStyle w:val="CTEspDessous"/>
      </w:pPr>
      <w:r>
        <w:t xml:space="preserve">Dans la méthode traditionnelle, un </w:t>
      </w:r>
      <w:r>
        <w:rPr>
          <w:b/>
          <w:bCs/>
        </w:rPr>
        <w:t>centre d’analyse</w:t>
      </w:r>
      <w:r>
        <w:rPr>
          <w:b/>
          <w:bCs/>
          <w:highlight w:val="green"/>
        </w:rPr>
        <w:fldChar w:fldCharType="begin"/>
      </w:r>
      <w:r>
        <w:rPr>
          <w:b/>
          <w:bCs/>
          <w:highlight w:val="green"/>
        </w:rPr>
        <w:instrText xml:space="preserve"> XE "</w:instrText>
      </w:r>
      <w:r>
        <w:rPr>
          <w:b/>
          <w:bCs/>
          <w:noProof/>
          <w:highlight w:val="green"/>
        </w:rPr>
        <w:instrText>Centre</w:instrText>
      </w:r>
      <w:r>
        <w:rPr>
          <w:b/>
          <w:bCs/>
          <w:highlight w:val="green"/>
        </w:rPr>
        <w:instrText>:</w:instrText>
      </w:r>
      <w:r>
        <w:rPr>
          <w:b/>
          <w:bCs/>
          <w:noProof/>
          <w:highlight w:val="green"/>
        </w:rPr>
        <w:instrText>– d’analyse</w:instrText>
      </w:r>
      <w:r>
        <w:rPr>
          <w:b/>
          <w:bCs/>
          <w:highlight w:val="green"/>
        </w:rPr>
        <w:instrText xml:space="preserve">" </w:instrText>
      </w:r>
      <w:r>
        <w:rPr>
          <w:b/>
          <w:bCs/>
          <w:highlight w:val="green"/>
        </w:rPr>
        <w:fldChar w:fldCharType="end"/>
      </w:r>
      <w:r>
        <w:t xml:space="preserve"> regroupe un ensemble de charges indirectes dont le montant doit être </w:t>
      </w:r>
      <w:r>
        <w:rPr>
          <w:b/>
          <w:bCs/>
        </w:rPr>
        <w:t>corrélé</w:t>
      </w:r>
      <w:r>
        <w:rPr>
          <w:highlight w:val="green"/>
        </w:rPr>
        <w:fldChar w:fldCharType="begin"/>
      </w:r>
      <w:r>
        <w:rPr>
          <w:highlight w:val="green"/>
        </w:rPr>
        <w:instrText xml:space="preserve"> XE "</w:instrText>
      </w:r>
      <w:r>
        <w:rPr>
          <w:noProof/>
          <w:highlight w:val="green"/>
        </w:rPr>
        <w:instrText>Corrélation</w:instrText>
      </w:r>
      <w:r>
        <w:rPr>
          <w:highlight w:val="green"/>
        </w:rPr>
        <w:instrText xml:space="preserve">" </w:instrText>
      </w:r>
      <w:r>
        <w:rPr>
          <w:highlight w:val="green"/>
        </w:rPr>
        <w:fldChar w:fldCharType="end"/>
      </w:r>
      <w:r>
        <w:t xml:space="preserve"> avec l’</w:t>
      </w:r>
      <w:r>
        <w:rPr>
          <w:b/>
          <w:bCs/>
        </w:rPr>
        <w:t>unité d’œuvre</w:t>
      </w:r>
      <w:r>
        <w:rPr>
          <w:highlight w:val="green"/>
        </w:rPr>
        <w:fldChar w:fldCharType="begin"/>
      </w:r>
      <w:r>
        <w:rPr>
          <w:highlight w:val="green"/>
        </w:rPr>
        <w:instrText xml:space="preserve"> XE "</w:instrText>
      </w:r>
      <w:r>
        <w:rPr>
          <w:noProof/>
          <w:highlight w:val="green"/>
        </w:rPr>
        <w:instrText>Unité d’œuvre</w:instrText>
      </w:r>
      <w:r>
        <w:rPr>
          <w:highlight w:val="green"/>
        </w:rPr>
        <w:instrText xml:space="preserve">" </w:instrText>
      </w:r>
      <w:r>
        <w:rPr>
          <w:highlight w:val="green"/>
        </w:rPr>
        <w:fldChar w:fldCharType="end"/>
      </w:r>
      <w:r>
        <w:t xml:space="preserve"> du centre. En effet, cette unité d’œuvre doit permettre de mesurer l’activité du centre d’analyse, c’est-à-dire que le montant des charges indirectes doit évoluer proportionnellement au nombre d’unités d’œuvre consommées par le centre d’analyse. Il est donc </w:t>
      </w:r>
      <w:r>
        <w:rPr>
          <w:b/>
          <w:bCs/>
        </w:rPr>
        <w:t xml:space="preserve">fondamental que les charges indirectes regroupées au sein d’un centre d’analyse soient homogènes </w:t>
      </w:r>
      <w:r>
        <w:t xml:space="preserve">dans leur comportement afin de pouvoir établir une relation avec l’unité d’œuvre. Cette condition était d’ailleurs soulignée dans la </w:t>
      </w:r>
      <w:r>
        <w:rPr>
          <w:b/>
          <w:bCs/>
        </w:rPr>
        <w:t>méthode traditionnelle</w:t>
      </w:r>
      <w:r>
        <w:rPr>
          <w:highlight w:val="green"/>
        </w:rPr>
        <w:fldChar w:fldCharType="begin"/>
      </w:r>
      <w:r>
        <w:rPr>
          <w:highlight w:val="green"/>
        </w:rPr>
        <w:instrText xml:space="preserve"> XE "</w:instrText>
      </w:r>
      <w:r>
        <w:rPr>
          <w:noProof/>
          <w:highlight w:val="green"/>
        </w:rPr>
        <w:instrText>Méthode</w:instrText>
      </w:r>
      <w:r>
        <w:rPr>
          <w:highlight w:val="green"/>
        </w:rPr>
        <w:instrText>:</w:instrText>
      </w:r>
      <w:r>
        <w:rPr>
          <w:noProof/>
          <w:highlight w:val="green"/>
        </w:rPr>
        <w:instrText>– traditionnelle</w:instrText>
      </w:r>
      <w:r>
        <w:rPr>
          <w:highlight w:val="green"/>
        </w:rPr>
        <w:instrText xml:space="preserve">" </w:instrText>
      </w:r>
      <w:r>
        <w:rPr>
          <w:highlight w:val="green"/>
        </w:rPr>
        <w:fldChar w:fldCharType="end"/>
      </w:r>
      <w:r>
        <w:t>, puisqu’elle s’appelait « </w:t>
      </w:r>
      <w:r>
        <w:rPr>
          <w:b/>
          <w:bCs/>
        </w:rPr>
        <w:t>méthode des sections homogènes</w:t>
      </w:r>
      <w:r>
        <w:rPr>
          <w:highlight w:val="green"/>
        </w:rPr>
        <w:fldChar w:fldCharType="begin"/>
      </w:r>
      <w:r>
        <w:rPr>
          <w:highlight w:val="green"/>
        </w:rPr>
        <w:instrText xml:space="preserve"> XE "</w:instrText>
      </w:r>
      <w:r>
        <w:rPr>
          <w:noProof/>
          <w:highlight w:val="green"/>
        </w:rPr>
        <w:instrText>Méthode</w:instrText>
      </w:r>
      <w:r>
        <w:rPr>
          <w:highlight w:val="green"/>
        </w:rPr>
        <w:instrText>:</w:instrText>
      </w:r>
      <w:r>
        <w:rPr>
          <w:noProof/>
          <w:highlight w:val="green"/>
        </w:rPr>
        <w:instrText>– des sections homogènes</w:instrText>
      </w:r>
      <w:r>
        <w:rPr>
          <w:highlight w:val="green"/>
        </w:rPr>
        <w:instrText xml:space="preserve">" </w:instrText>
      </w:r>
      <w:r>
        <w:rPr>
          <w:highlight w:val="green"/>
        </w:rPr>
        <w:fldChar w:fldCharType="end"/>
      </w:r>
      <w:r>
        <w:t> » jusqu’en 1982, avant d’être rebaptisée « </w:t>
      </w:r>
      <w:r>
        <w:rPr>
          <w:b/>
          <w:bCs/>
        </w:rPr>
        <w:t>méthode des centres d’analyse</w:t>
      </w:r>
      <w:r>
        <w:rPr>
          <w:highlight w:val="green"/>
        </w:rPr>
        <w:fldChar w:fldCharType="begin"/>
      </w:r>
      <w:r>
        <w:rPr>
          <w:highlight w:val="green"/>
        </w:rPr>
        <w:instrText xml:space="preserve"> XE "</w:instrText>
      </w:r>
      <w:r>
        <w:rPr>
          <w:noProof/>
          <w:highlight w:val="green"/>
        </w:rPr>
        <w:instrText>Méthode</w:instrText>
      </w:r>
      <w:r>
        <w:rPr>
          <w:highlight w:val="green"/>
        </w:rPr>
        <w:instrText>:</w:instrText>
      </w:r>
      <w:r>
        <w:rPr>
          <w:noProof/>
          <w:highlight w:val="green"/>
        </w:rPr>
        <w:instrText>– des centres d’analyse</w:instrText>
      </w:r>
      <w:r>
        <w:rPr>
          <w:highlight w:val="green"/>
        </w:rPr>
        <w:instrText xml:space="preserve">" </w:instrText>
      </w:r>
      <w:r>
        <w:rPr>
          <w:highlight w:val="green"/>
        </w:rPr>
        <w:fldChar w:fldCharType="end"/>
      </w:r>
      <w:r>
        <w:t> ».</w:t>
      </w:r>
    </w:p>
    <w:p w14:paraId="4F8329C4" w14:textId="77777777" w:rsidR="005D07A6" w:rsidRDefault="00F42774">
      <w:pPr>
        <w:pStyle w:val="CTEspDessous"/>
      </w:pPr>
      <w:r>
        <w:t xml:space="preserve">Or, dans bien des entreprises, cette condition </w:t>
      </w:r>
      <w:r>
        <w:rPr>
          <w:b/>
          <w:bCs/>
        </w:rPr>
        <w:t>d’homogénéité</w:t>
      </w:r>
      <w:r>
        <w:rPr>
          <w:highlight w:val="green"/>
        </w:rPr>
        <w:fldChar w:fldCharType="begin"/>
      </w:r>
      <w:r>
        <w:rPr>
          <w:highlight w:val="green"/>
        </w:rPr>
        <w:instrText xml:space="preserve"> XE "</w:instrText>
      </w:r>
      <w:r>
        <w:rPr>
          <w:noProof/>
          <w:highlight w:val="green"/>
        </w:rPr>
        <w:instrText>Homogénéité</w:instrText>
      </w:r>
      <w:r>
        <w:rPr>
          <w:highlight w:val="green"/>
        </w:rPr>
        <w:instrText xml:space="preserve">" </w:instrText>
      </w:r>
      <w:r>
        <w:rPr>
          <w:highlight w:val="green"/>
        </w:rPr>
        <w:fldChar w:fldCharType="end"/>
      </w:r>
      <w:r>
        <w:t xml:space="preserve"> n’est pas respectée. L’importance croissante des charges indirectes peut en être partiellement la cause. Mais plus généralement, nombre d’entreprises appliquent la méthode des centres d’analyse sans analyse sérieuse (ou tout simplement mise à jour) des charges indirectes. Cette critique vise donc moins la méthode traditionnelle elle-même que sa mauvaise mise en œuvre dans les entreprises.</w:t>
      </w:r>
    </w:p>
    <w:p w14:paraId="75E6248F" w14:textId="77777777" w:rsidR="005D07A6" w:rsidRDefault="00F42774">
      <w:pPr>
        <w:pStyle w:val="CTEspDessous"/>
      </w:pPr>
      <w:r>
        <w:t>Le principe même de répartition en deux temps proposée par la méthode traditionnelle pose un problème d’hétérogénéité des charges. En effet, les charges indirectes sont réparties selon une première unité d’œuvre sur les centres principaux. Même si cette première unité d’œuvre respecte la condition d’homogénéité, dans un deuxième temps, c’est une nouvelle unité d’œuvre qui sert à imputer les charges aux produits. Cette seconde unité d’œuvre n’est alors pas nécessairement la plus pertinente.</w:t>
      </w:r>
    </w:p>
    <w:p w14:paraId="1915726B" w14:textId="77777777" w:rsidR="005D07A6" w:rsidRDefault="00F42774">
      <w:pPr>
        <w:pStyle w:val="CTEspDessous"/>
      </w:pPr>
      <w:r>
        <w:t xml:space="preserve">Cependant, il ne faut pas en déduire que la méthode traditionnelle conduit par nature à une hétérogénéité des centres. En effet, si la seconde unité d’œuvre est trop éloignée du rythme de consommation des charges imputées, une bonne application de la méthode impose de diviser les centres d’analyse (et de créer par exemple un centre d’analyse principal uniquement dédié à la quote-part des charges du centre auxiliaire concernées). </w:t>
      </w:r>
      <w:r>
        <w:lastRenderedPageBreak/>
        <w:t>Par ailleurs, la méthode ABC peut également conduire à effectuer des répartitions de charges indirectes en cascade.</w:t>
      </w:r>
    </w:p>
    <w:p w14:paraId="66D33F12" w14:textId="77777777" w:rsidR="005D07A6" w:rsidRDefault="00F42774">
      <w:pPr>
        <w:pStyle w:val="CTEspDessous"/>
      </w:pPr>
      <w:r>
        <w:t>En définitive, c’est davantage le défaut d’analyse sérieuse des charges indirectes qui conduit à des distorsions dans les calculs de coût de revient, que la méthode traditionnelle en soi.</w:t>
      </w:r>
    </w:p>
    <w:p w14:paraId="51278B53" w14:textId="77777777" w:rsidR="005D07A6" w:rsidRDefault="00F42774">
      <w:pPr>
        <w:pStyle w:val="T4"/>
      </w:pPr>
      <w:r>
        <w:t>III.</w:t>
      </w:r>
      <w:r>
        <w:tab/>
        <w:t>La nature des unités d’œuvre</w:t>
      </w:r>
    </w:p>
    <w:p w14:paraId="7518DDAB" w14:textId="77777777" w:rsidR="005D07A6" w:rsidRDefault="00F42774">
      <w:pPr>
        <w:pStyle w:val="CTEspDessous"/>
      </w:pPr>
      <w:r>
        <w:t xml:space="preserve">La nature des unités d’œuvre retenues par une entreprise est la source de nombreuses critiques. Théoriquement, l’unité d’œuvre doit respecter la condition d’homogénéité. Mais lorsque l’entreprise hésite entre plusieurs unités d’œuvre (par exemple, entre le nombre de produits réalisés dans un atelier et le nombre de séries réalisées dans ce même atelier), il est fréquent que l’entreprise retienne </w:t>
      </w:r>
      <w:r>
        <w:rPr>
          <w:i/>
          <w:iCs/>
        </w:rPr>
        <w:t>in fine</w:t>
      </w:r>
      <w:r>
        <w:t xml:space="preserve"> pour des raisons pratiques une </w:t>
      </w:r>
      <w:r>
        <w:rPr>
          <w:b/>
          <w:bCs/>
        </w:rPr>
        <w:t>unité d’œuvre volumique</w:t>
      </w:r>
      <w:r>
        <w:rPr>
          <w:highlight w:val="green"/>
        </w:rPr>
        <w:fldChar w:fldCharType="begin"/>
      </w:r>
      <w:r>
        <w:rPr>
          <w:highlight w:val="green"/>
        </w:rPr>
        <w:instrText xml:space="preserve"> XE "</w:instrText>
      </w:r>
      <w:r>
        <w:rPr>
          <w:noProof/>
          <w:highlight w:val="green"/>
        </w:rPr>
        <w:instrText>Unité d’œuvre</w:instrText>
      </w:r>
      <w:r>
        <w:rPr>
          <w:highlight w:val="green"/>
        </w:rPr>
        <w:instrText>:</w:instrText>
      </w:r>
      <w:r>
        <w:rPr>
          <w:noProof/>
          <w:highlight w:val="green"/>
        </w:rPr>
        <w:instrText>– volumique</w:instrText>
      </w:r>
      <w:r>
        <w:rPr>
          <w:highlight w:val="green"/>
        </w:rPr>
        <w:instrText xml:space="preserve">" </w:instrText>
      </w:r>
      <w:r>
        <w:rPr>
          <w:highlight w:val="green"/>
        </w:rPr>
        <w:fldChar w:fldCharType="end"/>
      </w:r>
      <w:r>
        <w:t>, c’est-à-dire liée aux volumes de production.</w:t>
      </w:r>
    </w:p>
    <w:p w14:paraId="55FCE640" w14:textId="77777777" w:rsidR="005D07A6" w:rsidRDefault="00F42774">
      <w:pPr>
        <w:pStyle w:val="CTEspDessous"/>
      </w:pPr>
      <w:r>
        <w:t>Or, les unités d’œuvre volumiques, qui peuvent sembler intuitivement les plus simples, ne sont adaptées que lorsque l’on s’intéresse à un processus de production standardisé. En effet, dans le cas d’un atelier de production, les consommations de ressources (temps de main-d’œuvre, temps machine, énergie, etc.) sont généralement proportionnelles aux quantités fabriquées. Mais lorsque la production est fortement différenciée en fonction d’une clientèle segmentée, et qu’elle se fait par de nombreux lots de tailles différentes, il est probable que le temps lié aux changements de lots augmente. S’il faut, par exemple, une demi-journée de réglages avant de lancer la production d’un nouveau lot, et que la production se fait en continu (un lot unique), le temps de réglage peut être ignoré. En revanche, si la production nécessite plusieurs lots de tailles très diverses, ignorer le temps de réglage (de lancement du lot) va conduire à minimiser largement le coût de production des petits lots.</w:t>
      </w:r>
    </w:p>
    <w:p w14:paraId="621A0C46" w14:textId="77777777" w:rsidR="005D07A6" w:rsidRDefault="00F42774">
      <w:pPr>
        <w:pStyle w:val="CTEspDessous"/>
      </w:pPr>
      <w:r>
        <w:t xml:space="preserve">On oppose ainsi deux types d’unités d’œuvre : les </w:t>
      </w:r>
      <w:r>
        <w:rPr>
          <w:b/>
          <w:bCs/>
        </w:rPr>
        <w:t>unités d’œuvre volumiques</w:t>
      </w:r>
      <w:r>
        <w:t xml:space="preserve"> (quantités produites, temps passé, chiffre d’affaires, etc.), et les </w:t>
      </w:r>
      <w:r>
        <w:rPr>
          <w:b/>
          <w:bCs/>
        </w:rPr>
        <w:t>unités d’œuvre de déclenchement</w:t>
      </w:r>
      <w:r>
        <w:rPr>
          <w:highlight w:val="green"/>
        </w:rPr>
        <w:fldChar w:fldCharType="begin"/>
      </w:r>
      <w:r>
        <w:rPr>
          <w:highlight w:val="green"/>
        </w:rPr>
        <w:instrText xml:space="preserve"> XE "</w:instrText>
      </w:r>
      <w:r>
        <w:rPr>
          <w:noProof/>
          <w:highlight w:val="green"/>
        </w:rPr>
        <w:instrText>Unité d’œuvre</w:instrText>
      </w:r>
      <w:r>
        <w:rPr>
          <w:highlight w:val="green"/>
        </w:rPr>
        <w:instrText>:</w:instrText>
      </w:r>
      <w:r>
        <w:rPr>
          <w:noProof/>
          <w:highlight w:val="green"/>
        </w:rPr>
        <w:instrText>– de déclenchement</w:instrText>
      </w:r>
      <w:r>
        <w:rPr>
          <w:highlight w:val="green"/>
        </w:rPr>
        <w:instrText xml:space="preserve">" </w:instrText>
      </w:r>
      <w:r>
        <w:rPr>
          <w:highlight w:val="green"/>
        </w:rPr>
        <w:fldChar w:fldCharType="end"/>
      </w:r>
      <w:r>
        <w:t xml:space="preserve"> (nombre de lots, nombre de fournisseurs, nombre de références, etc.).</w:t>
      </w:r>
    </w:p>
    <w:p w14:paraId="1C55D045" w14:textId="77777777" w:rsidR="005D07A6" w:rsidRDefault="00F42774">
      <w:pPr>
        <w:pStyle w:val="CTEspDessous"/>
      </w:pPr>
      <w:r>
        <w:t>En général, les unités d’œuvre volumiques sont adaptées lorsque la production est standardisée (grandes séries, standardisation des consommations, etc.) alors qu’elles ne le sont pas lorsque l’entreprise fait face à une différenciation accrue de sa production (production en petites séries, nombre croissant de références, production à la demande, etc.).</w:t>
      </w:r>
    </w:p>
    <w:p w14:paraId="23239DB1" w14:textId="77777777" w:rsidR="005D07A6" w:rsidRDefault="00F42774">
      <w:pPr>
        <w:pStyle w:val="T4"/>
      </w:pPr>
      <w:r>
        <w:t>IV.</w:t>
      </w:r>
      <w:r>
        <w:tab/>
        <w:t>Le subventionnement croisé</w:t>
      </w:r>
    </w:p>
    <w:p w14:paraId="286552BD" w14:textId="77777777" w:rsidR="005D07A6" w:rsidRDefault="00F42774">
      <w:pPr>
        <w:pStyle w:val="CTEspDessous"/>
      </w:pPr>
      <w:r>
        <w:t>Lorsque les conditions d’utilisation de la méthode des centres d’analyse ne sont pas respectées (charges indirectes importantes, hétérogénéité des centres, différenciation de la production, unités d’œuvre volumiques, etc.) le risque d’aboutir à des coûts de revient faux s’accroît. On parle de « </w:t>
      </w:r>
      <w:r>
        <w:rPr>
          <w:b/>
          <w:bCs/>
        </w:rPr>
        <w:t>subventionnement croisé</w:t>
      </w:r>
      <w:r>
        <w:rPr>
          <w:highlight w:val="green"/>
        </w:rPr>
        <w:fldChar w:fldCharType="begin"/>
      </w:r>
      <w:r>
        <w:rPr>
          <w:highlight w:val="green"/>
        </w:rPr>
        <w:instrText xml:space="preserve"> XE "</w:instrText>
      </w:r>
      <w:r>
        <w:rPr>
          <w:noProof/>
          <w:highlight w:val="green"/>
        </w:rPr>
        <w:instrText>Subventionnement croisé</w:instrText>
      </w:r>
      <w:r>
        <w:rPr>
          <w:highlight w:val="green"/>
        </w:rPr>
        <w:instrText xml:space="preserve">" </w:instrText>
      </w:r>
      <w:r>
        <w:rPr>
          <w:highlight w:val="green"/>
        </w:rPr>
        <w:fldChar w:fldCharType="end"/>
      </w:r>
      <w:r>
        <w:t xml:space="preserve"> » (selon l’expression de Pierre </w:t>
      </w:r>
      <w:r>
        <w:rPr>
          <w:b/>
          <w:bCs/>
        </w:rPr>
        <w:t>Mévellec</w:t>
      </w:r>
      <w:r>
        <w:rPr>
          <w:highlight w:val="green"/>
        </w:rPr>
        <w:fldChar w:fldCharType="begin"/>
      </w:r>
      <w:r>
        <w:rPr>
          <w:highlight w:val="green"/>
        </w:rPr>
        <w:instrText xml:space="preserve"> XE "</w:instrText>
      </w:r>
      <w:r>
        <w:rPr>
          <w:noProof/>
          <w:highlight w:val="green"/>
        </w:rPr>
        <w:instrText>Mévellec</w:instrText>
      </w:r>
      <w:r>
        <w:rPr>
          <w:highlight w:val="green"/>
        </w:rPr>
        <w:instrText xml:space="preserve">" </w:instrText>
      </w:r>
      <w:r>
        <w:rPr>
          <w:highlight w:val="green"/>
        </w:rPr>
        <w:fldChar w:fldCharType="end"/>
      </w:r>
      <w:r>
        <w:t>) dans la mesure où le coût d’un produit est surestimé au bénéfice d’un autre. En effet, la répartition des charges indirectes est un jeu à somme nul. Surévaluer le coût de revient d’un produit est nécessairement la contrepartie de la sous-évaluation du coût de revient d’un autre produit. Il y a donc « subventionnement » artificiel dans la mesure où la performance d’un produit est en apparence surévaluée au détriment de celle d’un autre.</w:t>
      </w:r>
    </w:p>
    <w:p w14:paraId="5223E26B" w14:textId="77777777" w:rsidR="005D07A6" w:rsidRDefault="00F42774">
      <w:pPr>
        <w:pStyle w:val="CTEspDessous"/>
      </w:pPr>
      <w:r>
        <w:t>En général, ce sont les produits standards, fabriqués en grandes séries, qui subventionnent les produits fortement différenciés, fabriqués en petites séries. De très nombreux exercices sont construits autour de cette problématique.</w:t>
      </w:r>
    </w:p>
    <w:p w14:paraId="45B200D5" w14:textId="77777777" w:rsidR="005D07A6" w:rsidRDefault="00F42774">
      <w:pPr>
        <w:pStyle w:val="debutfiletr"/>
      </w:pPr>
      <w:r>
        <w:t>Application _n-12</w:t>
      </w:r>
    </w:p>
    <w:p w14:paraId="58D6BCAD" w14:textId="77777777" w:rsidR="005D07A6" w:rsidRDefault="00F42774">
      <w:pPr>
        <w:pStyle w:val="CT"/>
      </w:pPr>
      <w:r>
        <w:lastRenderedPageBreak/>
        <w:t>Une entreprise produit dans un atelier de production deux produits P1 et P2. Les données sont les suivantes :</w:t>
      </w:r>
    </w:p>
    <w:tbl>
      <w:tblPr>
        <w:tblW w:w="5959" w:type="dxa"/>
        <w:tblInd w:w="1701" w:type="dxa"/>
        <w:tblLook w:val="04A0" w:firstRow="1" w:lastRow="0" w:firstColumn="1" w:lastColumn="0" w:noHBand="0" w:noVBand="1"/>
      </w:tblPr>
      <w:tblGrid>
        <w:gridCol w:w="3199"/>
        <w:gridCol w:w="1380"/>
        <w:gridCol w:w="1380"/>
      </w:tblGrid>
      <w:tr w:rsidR="005D07A6" w14:paraId="2064F15A" w14:textId="77777777">
        <w:tc>
          <w:tcPr>
            <w:tcW w:w="2400" w:type="dxa"/>
            <w:tcBorders>
              <w:top w:val="nil"/>
              <w:left w:val="nil"/>
              <w:bottom w:val="single" w:sz="4" w:space="0" w:color="auto"/>
              <w:right w:val="single" w:sz="4" w:space="0" w:color="auto"/>
            </w:tcBorders>
            <w:tcMar>
              <w:top w:w="0" w:type="dxa"/>
              <w:left w:w="2" w:type="dxa"/>
              <w:bottom w:w="0" w:type="dxa"/>
              <w:right w:w="2" w:type="dxa"/>
            </w:tcMar>
            <w:hideMark/>
          </w:tcPr>
          <w:p w14:paraId="411115C2" w14:textId="77777777" w:rsidR="005D07A6" w:rsidRDefault="005D07A6"/>
        </w:tc>
        <w:tc>
          <w:tcPr>
            <w:tcW w:w="103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77C964F" w14:textId="77777777" w:rsidR="005D07A6" w:rsidRDefault="00F42774">
            <w:pPr>
              <w:pStyle w:val="TA1"/>
              <w:jc w:val="center"/>
              <w:rPr>
                <w:rFonts w:eastAsiaTheme="minorEastAsia"/>
              </w:rPr>
            </w:pPr>
            <w:r>
              <w:rPr>
                <w:b/>
                <w:bCs/>
              </w:rPr>
              <w:t>P1</w:t>
            </w:r>
          </w:p>
        </w:tc>
        <w:tc>
          <w:tcPr>
            <w:tcW w:w="103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19F1E95" w14:textId="77777777" w:rsidR="005D07A6" w:rsidRDefault="00F42774">
            <w:pPr>
              <w:pStyle w:val="TA1"/>
              <w:jc w:val="center"/>
              <w:rPr>
                <w:rFonts w:eastAsiaTheme="minorEastAsia"/>
              </w:rPr>
            </w:pPr>
            <w:r>
              <w:rPr>
                <w:b/>
                <w:bCs/>
              </w:rPr>
              <w:t>P2</w:t>
            </w:r>
          </w:p>
        </w:tc>
      </w:tr>
      <w:tr w:rsidR="005D07A6" w14:paraId="711A5D47" w14:textId="77777777">
        <w:tc>
          <w:tcPr>
            <w:tcW w:w="24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B8BDE83" w14:textId="77777777" w:rsidR="005D07A6" w:rsidRDefault="00F42774">
            <w:pPr>
              <w:pStyle w:val="TA1"/>
              <w:rPr>
                <w:rFonts w:eastAsiaTheme="minorEastAsia"/>
              </w:rPr>
            </w:pPr>
            <w:r>
              <w:t>Quantités produites</w:t>
            </w:r>
          </w:p>
          <w:p w14:paraId="1FE4391C" w14:textId="77777777" w:rsidR="005D07A6" w:rsidRDefault="00F42774">
            <w:pPr>
              <w:pStyle w:val="TA1"/>
              <w:rPr>
                <w:rFonts w:eastAsiaTheme="minorEastAsia"/>
              </w:rPr>
            </w:pPr>
            <w:r>
              <w:t>Poids unitaire (tonne)</w:t>
            </w:r>
          </w:p>
        </w:tc>
        <w:tc>
          <w:tcPr>
            <w:tcW w:w="10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16FA1C5" w14:textId="77777777" w:rsidR="005D07A6" w:rsidRDefault="00F42774">
            <w:pPr>
              <w:pStyle w:val="TA1"/>
              <w:jc w:val="center"/>
              <w:rPr>
                <w:rFonts w:eastAsiaTheme="minorEastAsia"/>
              </w:rPr>
            </w:pPr>
            <w:r>
              <w:t>1 500</w:t>
            </w:r>
          </w:p>
          <w:p w14:paraId="029DB7B2" w14:textId="77777777" w:rsidR="005D07A6" w:rsidRDefault="00F42774">
            <w:pPr>
              <w:pStyle w:val="TA1"/>
              <w:jc w:val="center"/>
              <w:rPr>
                <w:rFonts w:eastAsiaTheme="minorEastAsia"/>
              </w:rPr>
            </w:pPr>
            <w:r>
              <w:t>0,2</w:t>
            </w:r>
          </w:p>
        </w:tc>
        <w:tc>
          <w:tcPr>
            <w:tcW w:w="10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79CD2D2" w14:textId="77777777" w:rsidR="005D07A6" w:rsidRDefault="00F42774">
            <w:pPr>
              <w:pStyle w:val="TA1"/>
              <w:jc w:val="center"/>
              <w:rPr>
                <w:rFonts w:eastAsiaTheme="minorEastAsia"/>
              </w:rPr>
            </w:pPr>
            <w:r>
              <w:t>500</w:t>
            </w:r>
          </w:p>
          <w:p w14:paraId="5650B41B" w14:textId="77777777" w:rsidR="005D07A6" w:rsidRDefault="00F42774">
            <w:pPr>
              <w:pStyle w:val="TA1"/>
              <w:jc w:val="center"/>
              <w:rPr>
                <w:rFonts w:eastAsiaTheme="minorEastAsia"/>
              </w:rPr>
            </w:pPr>
            <w:r>
              <w:t>0,1</w:t>
            </w:r>
          </w:p>
        </w:tc>
      </w:tr>
    </w:tbl>
    <w:p w14:paraId="1B795519" w14:textId="77777777" w:rsidR="005D07A6" w:rsidRDefault="005D07A6">
      <w:pPr>
        <w:pStyle w:val="CTEspDessous"/>
        <w:rPr>
          <w:rFonts w:eastAsiaTheme="minorEastAsia"/>
        </w:rPr>
      </w:pPr>
    </w:p>
    <w:tbl>
      <w:tblPr>
        <w:tblW w:w="5959" w:type="dxa"/>
        <w:tblInd w:w="1701" w:type="dxa"/>
        <w:tblLook w:val="04A0" w:firstRow="1" w:lastRow="0" w:firstColumn="1" w:lastColumn="0" w:noHBand="0" w:noVBand="1"/>
      </w:tblPr>
      <w:tblGrid>
        <w:gridCol w:w="3199"/>
        <w:gridCol w:w="2760"/>
      </w:tblGrid>
      <w:tr w:rsidR="005D07A6" w14:paraId="6AC8A3E5" w14:textId="77777777">
        <w:tc>
          <w:tcPr>
            <w:tcW w:w="2400" w:type="dxa"/>
            <w:tcBorders>
              <w:top w:val="nil"/>
              <w:left w:val="nil"/>
              <w:bottom w:val="single" w:sz="4" w:space="0" w:color="auto"/>
              <w:right w:val="single" w:sz="4" w:space="0" w:color="auto"/>
            </w:tcBorders>
            <w:tcMar>
              <w:top w:w="0" w:type="dxa"/>
              <w:left w:w="2" w:type="dxa"/>
              <w:bottom w:w="0" w:type="dxa"/>
              <w:right w:w="2" w:type="dxa"/>
            </w:tcMar>
            <w:hideMark/>
          </w:tcPr>
          <w:p w14:paraId="18C24D91" w14:textId="77777777" w:rsidR="005D07A6" w:rsidRDefault="005D07A6"/>
        </w:tc>
        <w:tc>
          <w:tcPr>
            <w:tcW w:w="207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12670F7" w14:textId="77777777" w:rsidR="005D07A6" w:rsidRDefault="00F42774">
            <w:pPr>
              <w:pStyle w:val="TA1"/>
              <w:jc w:val="center"/>
              <w:rPr>
                <w:rFonts w:eastAsiaTheme="minorEastAsia"/>
              </w:rPr>
            </w:pPr>
            <w:r>
              <w:rPr>
                <w:b/>
                <w:bCs/>
              </w:rPr>
              <w:t>Centre production</w:t>
            </w:r>
          </w:p>
        </w:tc>
      </w:tr>
      <w:tr w:rsidR="005D07A6" w14:paraId="4C28BD5C" w14:textId="77777777">
        <w:tc>
          <w:tcPr>
            <w:tcW w:w="24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E448540" w14:textId="77777777" w:rsidR="005D07A6" w:rsidRDefault="00F42774">
            <w:pPr>
              <w:pStyle w:val="TA1"/>
              <w:rPr>
                <w:rFonts w:eastAsiaTheme="minorEastAsia"/>
              </w:rPr>
            </w:pPr>
            <w:r>
              <w:t>Total après répartition secondaire</w:t>
            </w:r>
          </w:p>
          <w:p w14:paraId="15B8A1DF" w14:textId="77777777" w:rsidR="005D07A6" w:rsidRDefault="00F42774">
            <w:pPr>
              <w:pStyle w:val="TA1"/>
            </w:pPr>
            <w:r>
              <w:t>Unité d’œuvre</w:t>
            </w:r>
          </w:p>
          <w:p w14:paraId="6726B5A3" w14:textId="77777777" w:rsidR="005D07A6" w:rsidRDefault="00F42774">
            <w:pPr>
              <w:pStyle w:val="TA1"/>
            </w:pPr>
            <w:r>
              <w:t>Nombre d’unités d’œuvre</w:t>
            </w:r>
          </w:p>
          <w:p w14:paraId="53130EF2" w14:textId="77777777" w:rsidR="005D07A6" w:rsidRDefault="00F42774">
            <w:pPr>
              <w:pStyle w:val="TA1"/>
              <w:rPr>
                <w:rFonts w:eastAsiaTheme="minorEastAsia"/>
              </w:rPr>
            </w:pPr>
            <w:r>
              <w:t>Coût de l’unité d’œuvre</w:t>
            </w:r>
          </w:p>
        </w:tc>
        <w:tc>
          <w:tcPr>
            <w:tcW w:w="20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D3146DD" w14:textId="77777777" w:rsidR="005D07A6" w:rsidRDefault="00F42774">
            <w:pPr>
              <w:pStyle w:val="TA1"/>
              <w:jc w:val="center"/>
              <w:rPr>
                <w:rFonts w:eastAsiaTheme="minorEastAsia"/>
              </w:rPr>
            </w:pPr>
            <w:r>
              <w:t>70 000 €</w:t>
            </w:r>
          </w:p>
          <w:p w14:paraId="067843D0" w14:textId="77777777" w:rsidR="005D07A6" w:rsidRDefault="00F42774">
            <w:pPr>
              <w:pStyle w:val="TA1"/>
              <w:jc w:val="center"/>
            </w:pPr>
            <w:r>
              <w:t>Tonne produite</w:t>
            </w:r>
          </w:p>
          <w:p w14:paraId="4ECE2687" w14:textId="77777777" w:rsidR="005D07A6" w:rsidRDefault="00F42774">
            <w:pPr>
              <w:pStyle w:val="TA1"/>
              <w:jc w:val="center"/>
            </w:pPr>
            <w:r>
              <w:t>À déterminer</w:t>
            </w:r>
          </w:p>
          <w:p w14:paraId="55A8EA13" w14:textId="77777777" w:rsidR="005D07A6" w:rsidRDefault="00F42774">
            <w:pPr>
              <w:pStyle w:val="TA1"/>
              <w:jc w:val="center"/>
              <w:rPr>
                <w:rFonts w:eastAsiaTheme="minorEastAsia"/>
              </w:rPr>
            </w:pPr>
            <w:r>
              <w:t>À déterminer</w:t>
            </w:r>
          </w:p>
        </w:tc>
      </w:tr>
    </w:tbl>
    <w:p w14:paraId="51F53FD2" w14:textId="77777777" w:rsidR="005D07A6" w:rsidRDefault="00F42774">
      <w:pPr>
        <w:pStyle w:val="TNiv1"/>
        <w:rPr>
          <w:rFonts w:eastAsiaTheme="minorEastAsia"/>
        </w:rPr>
      </w:pPr>
      <w:r>
        <w:t>1. Étude des charges indirectes de production avec ces informations</w:t>
      </w:r>
    </w:p>
    <w:p w14:paraId="489E4D7B" w14:textId="77777777" w:rsidR="005D07A6" w:rsidRDefault="00F42774">
      <w:pPr>
        <w:pStyle w:val="CT"/>
      </w:pPr>
      <w:r>
        <w:t>Nombre d’unités d’œuvre : 1 500 × 0,2 + 500 × 0,1 = 300 + 50 = 350</w:t>
      </w:r>
    </w:p>
    <w:tbl>
      <w:tblPr>
        <w:tblW w:w="5959" w:type="dxa"/>
        <w:tblInd w:w="1701" w:type="dxa"/>
        <w:tblLook w:val="04A0" w:firstRow="1" w:lastRow="0" w:firstColumn="1" w:lastColumn="0" w:noHBand="0" w:noVBand="1"/>
      </w:tblPr>
      <w:tblGrid>
        <w:gridCol w:w="3199"/>
        <w:gridCol w:w="2760"/>
      </w:tblGrid>
      <w:tr w:rsidR="005D07A6" w14:paraId="60DADF4B" w14:textId="77777777">
        <w:tc>
          <w:tcPr>
            <w:tcW w:w="2400" w:type="dxa"/>
            <w:tcBorders>
              <w:top w:val="nil"/>
              <w:left w:val="nil"/>
              <w:bottom w:val="single" w:sz="4" w:space="0" w:color="auto"/>
              <w:right w:val="single" w:sz="4" w:space="0" w:color="auto"/>
            </w:tcBorders>
            <w:tcMar>
              <w:top w:w="0" w:type="dxa"/>
              <w:left w:w="2" w:type="dxa"/>
              <w:bottom w:w="0" w:type="dxa"/>
              <w:right w:w="2" w:type="dxa"/>
            </w:tcMar>
            <w:hideMark/>
          </w:tcPr>
          <w:p w14:paraId="7C0F3AA0" w14:textId="77777777" w:rsidR="005D07A6" w:rsidRDefault="005D07A6"/>
        </w:tc>
        <w:tc>
          <w:tcPr>
            <w:tcW w:w="207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F490F3F" w14:textId="77777777" w:rsidR="005D07A6" w:rsidRDefault="00F42774">
            <w:pPr>
              <w:pStyle w:val="TA1"/>
              <w:jc w:val="center"/>
              <w:rPr>
                <w:rFonts w:eastAsiaTheme="minorEastAsia"/>
              </w:rPr>
            </w:pPr>
            <w:r>
              <w:rPr>
                <w:b/>
                <w:bCs/>
              </w:rPr>
              <w:t>Centre production</w:t>
            </w:r>
          </w:p>
        </w:tc>
      </w:tr>
      <w:tr w:rsidR="005D07A6" w14:paraId="0F142348" w14:textId="77777777">
        <w:tc>
          <w:tcPr>
            <w:tcW w:w="24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7B52061" w14:textId="77777777" w:rsidR="005D07A6" w:rsidRDefault="00F42774">
            <w:pPr>
              <w:pStyle w:val="TA1"/>
              <w:rPr>
                <w:rFonts w:eastAsiaTheme="minorEastAsia"/>
              </w:rPr>
            </w:pPr>
            <w:r>
              <w:t>Total après répartition secondaire</w:t>
            </w:r>
          </w:p>
          <w:p w14:paraId="0AA804CE" w14:textId="77777777" w:rsidR="005D07A6" w:rsidRDefault="00F42774">
            <w:pPr>
              <w:pStyle w:val="TA1"/>
            </w:pPr>
            <w:r>
              <w:t>Unité d’œuvre</w:t>
            </w:r>
          </w:p>
          <w:p w14:paraId="6ACD04F6" w14:textId="77777777" w:rsidR="005D07A6" w:rsidRDefault="00F42774">
            <w:pPr>
              <w:pStyle w:val="TA1"/>
            </w:pPr>
            <w:r>
              <w:t>Nombre d’unités d’œuvre</w:t>
            </w:r>
          </w:p>
          <w:p w14:paraId="56443F10" w14:textId="77777777" w:rsidR="005D07A6" w:rsidRDefault="00F42774">
            <w:pPr>
              <w:pStyle w:val="TA1"/>
              <w:rPr>
                <w:rFonts w:eastAsiaTheme="minorEastAsia"/>
              </w:rPr>
            </w:pPr>
            <w:r>
              <w:t>Coût de l’unité d’œuvre</w:t>
            </w:r>
          </w:p>
        </w:tc>
        <w:tc>
          <w:tcPr>
            <w:tcW w:w="20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3341FA8" w14:textId="77777777" w:rsidR="005D07A6" w:rsidRDefault="00F42774">
            <w:pPr>
              <w:pStyle w:val="TA1"/>
              <w:jc w:val="center"/>
              <w:rPr>
                <w:rFonts w:eastAsiaTheme="minorEastAsia"/>
              </w:rPr>
            </w:pPr>
            <w:r>
              <w:t>70 000 €</w:t>
            </w:r>
          </w:p>
          <w:p w14:paraId="51AF3783" w14:textId="77777777" w:rsidR="005D07A6" w:rsidRDefault="00F42774">
            <w:pPr>
              <w:pStyle w:val="TA1"/>
              <w:jc w:val="center"/>
            </w:pPr>
            <w:r>
              <w:t>Tonne produite</w:t>
            </w:r>
          </w:p>
          <w:p w14:paraId="49F1815E" w14:textId="77777777" w:rsidR="005D07A6" w:rsidRDefault="00F42774">
            <w:pPr>
              <w:pStyle w:val="TA1"/>
              <w:jc w:val="center"/>
            </w:pPr>
            <w:r>
              <w:t>350</w:t>
            </w:r>
          </w:p>
          <w:p w14:paraId="50FCD8C0" w14:textId="77777777" w:rsidR="005D07A6" w:rsidRDefault="00F42774">
            <w:pPr>
              <w:pStyle w:val="TA1"/>
              <w:jc w:val="center"/>
              <w:rPr>
                <w:rFonts w:eastAsiaTheme="minorEastAsia"/>
              </w:rPr>
            </w:pPr>
            <w:r>
              <w:t>200</w:t>
            </w:r>
          </w:p>
        </w:tc>
      </w:tr>
    </w:tbl>
    <w:p w14:paraId="129A395B" w14:textId="77777777" w:rsidR="005D07A6" w:rsidRDefault="00F42774">
      <w:pPr>
        <w:pStyle w:val="TT"/>
        <w:rPr>
          <w:rFonts w:eastAsiaTheme="minorEastAsia"/>
        </w:rPr>
      </w:pPr>
      <w:r>
        <w:t>Charges indirectes de production imputées</w:t>
      </w:r>
    </w:p>
    <w:tbl>
      <w:tblPr>
        <w:tblW w:w="5999" w:type="dxa"/>
        <w:tblInd w:w="1701" w:type="dxa"/>
        <w:tblLook w:val="04A0" w:firstRow="1" w:lastRow="0" w:firstColumn="1" w:lastColumn="0" w:noHBand="0" w:noVBand="1"/>
      </w:tblPr>
      <w:tblGrid>
        <w:gridCol w:w="1771"/>
        <w:gridCol w:w="689"/>
        <w:gridCol w:w="689"/>
        <w:gridCol w:w="736"/>
        <w:gridCol w:w="689"/>
        <w:gridCol w:w="689"/>
        <w:gridCol w:w="736"/>
      </w:tblGrid>
      <w:tr w:rsidR="005D07A6" w14:paraId="123B7535" w14:textId="77777777">
        <w:tc>
          <w:tcPr>
            <w:tcW w:w="1350" w:type="dxa"/>
            <w:tcBorders>
              <w:top w:val="nil"/>
              <w:left w:val="nil"/>
              <w:bottom w:val="nil"/>
              <w:right w:val="single" w:sz="4" w:space="0" w:color="auto"/>
            </w:tcBorders>
            <w:tcMar>
              <w:top w:w="0" w:type="dxa"/>
              <w:left w:w="2" w:type="dxa"/>
              <w:bottom w:w="0" w:type="dxa"/>
              <w:right w:w="2" w:type="dxa"/>
            </w:tcMar>
            <w:vAlign w:val="center"/>
            <w:hideMark/>
          </w:tcPr>
          <w:p w14:paraId="41971460" w14:textId="77777777" w:rsidR="005D07A6" w:rsidRDefault="005D07A6"/>
        </w:tc>
        <w:tc>
          <w:tcPr>
            <w:tcW w:w="52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BF5892E" w14:textId="77777777" w:rsidR="005D07A6" w:rsidRDefault="00F42774">
            <w:pPr>
              <w:pStyle w:val="TA1"/>
              <w:jc w:val="center"/>
              <w:rPr>
                <w:rFonts w:eastAsiaTheme="minorEastAsia"/>
              </w:rPr>
            </w:pPr>
            <w:r>
              <w:rPr>
                <w:b/>
                <w:bCs/>
              </w:rPr>
              <w:t>P1</w:t>
            </w:r>
          </w:p>
        </w:tc>
        <w:tc>
          <w:tcPr>
            <w:tcW w:w="52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59C8F89" w14:textId="77777777" w:rsidR="005D07A6" w:rsidRDefault="00F42774">
            <w:pPr>
              <w:pStyle w:val="TA1"/>
              <w:jc w:val="center"/>
              <w:rPr>
                <w:rFonts w:eastAsiaTheme="minorEastAsia"/>
              </w:rPr>
            </w:pPr>
            <w:r>
              <w:rPr>
                <w:b/>
                <w:bCs/>
              </w:rPr>
              <w:t>P2</w:t>
            </w:r>
          </w:p>
        </w:tc>
      </w:tr>
      <w:tr w:rsidR="005D07A6" w14:paraId="3378A830" w14:textId="77777777">
        <w:tc>
          <w:tcPr>
            <w:tcW w:w="1350" w:type="dxa"/>
            <w:tcBorders>
              <w:top w:val="nil"/>
              <w:left w:val="nil"/>
              <w:bottom w:val="single" w:sz="4" w:space="0" w:color="auto"/>
              <w:right w:val="single" w:sz="4" w:space="0" w:color="auto"/>
            </w:tcBorders>
            <w:tcMar>
              <w:top w:w="0" w:type="dxa"/>
              <w:left w:w="2" w:type="dxa"/>
              <w:bottom w:w="0" w:type="dxa"/>
              <w:right w:w="2" w:type="dxa"/>
            </w:tcMar>
            <w:hideMark/>
          </w:tcPr>
          <w:p w14:paraId="0E0C1E3D"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1F0D58B" w14:textId="77777777" w:rsidR="005D07A6" w:rsidRDefault="00F42774">
            <w:pPr>
              <w:pStyle w:val="TA1"/>
              <w:jc w:val="center"/>
              <w:rPr>
                <w:rFonts w:eastAsiaTheme="minorEastAsia"/>
              </w:rPr>
            </w:pPr>
            <w:r>
              <w:t>Q</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F3CDEA3" w14:textId="77777777" w:rsidR="005D07A6" w:rsidRDefault="00F42774">
            <w:pPr>
              <w:pStyle w:val="TA1"/>
              <w:jc w:val="center"/>
              <w:rPr>
                <w:rFonts w:eastAsiaTheme="minorEastAsia"/>
              </w:rPr>
            </w:pPr>
            <w:r>
              <w:t>CU</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D35BBFB" w14:textId="77777777" w:rsidR="005D07A6" w:rsidRDefault="00F42774">
            <w:pPr>
              <w:pStyle w:val="TA1"/>
              <w:jc w:val="center"/>
              <w:rPr>
                <w:rFonts w:eastAsiaTheme="minorEastAsia"/>
              </w:rPr>
            </w:pPr>
            <w:r>
              <w:t>Total</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1794F79" w14:textId="77777777" w:rsidR="005D07A6" w:rsidRDefault="00F42774">
            <w:pPr>
              <w:pStyle w:val="TA1"/>
              <w:jc w:val="center"/>
              <w:rPr>
                <w:rFonts w:eastAsiaTheme="minorEastAsia"/>
              </w:rPr>
            </w:pPr>
            <w:r>
              <w:t>Q</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5EA8CC8" w14:textId="77777777" w:rsidR="005D07A6" w:rsidRDefault="00F42774">
            <w:pPr>
              <w:pStyle w:val="TA1"/>
              <w:jc w:val="center"/>
              <w:rPr>
                <w:rFonts w:eastAsiaTheme="minorEastAsia"/>
              </w:rPr>
            </w:pPr>
            <w:r>
              <w:t>CU</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227947F" w14:textId="77777777" w:rsidR="005D07A6" w:rsidRDefault="00F42774">
            <w:pPr>
              <w:pStyle w:val="TA1"/>
              <w:jc w:val="center"/>
              <w:rPr>
                <w:rFonts w:eastAsiaTheme="minorEastAsia"/>
              </w:rPr>
            </w:pPr>
            <w:r>
              <w:t>Total</w:t>
            </w:r>
          </w:p>
        </w:tc>
      </w:tr>
      <w:tr w:rsidR="005D07A6" w14:paraId="05CA9304" w14:textId="77777777">
        <w:tc>
          <w:tcPr>
            <w:tcW w:w="13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6D905AE" w14:textId="77777777" w:rsidR="005D07A6" w:rsidRDefault="00F42774">
            <w:pPr>
              <w:pStyle w:val="TA1"/>
              <w:rPr>
                <w:rFonts w:eastAsiaTheme="minorEastAsia"/>
              </w:rPr>
            </w:pPr>
            <w:r>
              <w:rPr>
                <w:b/>
                <w:bCs/>
              </w:rPr>
              <w:t>Charges indirectes</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EBBA3F0" w14:textId="77777777" w:rsidR="005D07A6" w:rsidRDefault="00F42774">
            <w:pPr>
              <w:pStyle w:val="TA1"/>
              <w:jc w:val="center"/>
              <w:rPr>
                <w:rFonts w:eastAsiaTheme="minorEastAsia"/>
              </w:rPr>
            </w:pPr>
            <w:r>
              <w:t>300</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F8D0781" w14:textId="77777777" w:rsidR="005D07A6" w:rsidRDefault="00F42774">
            <w:pPr>
              <w:pStyle w:val="TA1"/>
              <w:jc w:val="center"/>
              <w:rPr>
                <w:rFonts w:eastAsiaTheme="minorEastAsia"/>
              </w:rPr>
            </w:pPr>
            <w:r>
              <w:t>200</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065A71F" w14:textId="77777777" w:rsidR="005D07A6" w:rsidRDefault="00F42774">
            <w:pPr>
              <w:pStyle w:val="TA1"/>
              <w:jc w:val="center"/>
              <w:rPr>
                <w:rFonts w:eastAsiaTheme="minorEastAsia"/>
              </w:rPr>
            </w:pPr>
            <w:r>
              <w:t>60 000</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6C92022" w14:textId="77777777" w:rsidR="005D07A6" w:rsidRDefault="00F42774">
            <w:pPr>
              <w:pStyle w:val="TA1"/>
              <w:jc w:val="center"/>
              <w:rPr>
                <w:rFonts w:eastAsiaTheme="minorEastAsia"/>
              </w:rPr>
            </w:pPr>
            <w:r>
              <w:t>50</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CE2AA52" w14:textId="77777777" w:rsidR="005D07A6" w:rsidRDefault="00F42774">
            <w:pPr>
              <w:pStyle w:val="TA1"/>
              <w:jc w:val="center"/>
              <w:rPr>
                <w:rFonts w:eastAsiaTheme="minorEastAsia"/>
              </w:rPr>
            </w:pPr>
            <w:r>
              <w:t>200</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EACC9E8" w14:textId="77777777" w:rsidR="005D07A6" w:rsidRDefault="00F42774">
            <w:pPr>
              <w:pStyle w:val="TA1"/>
              <w:jc w:val="center"/>
              <w:rPr>
                <w:rFonts w:eastAsiaTheme="minorEastAsia"/>
              </w:rPr>
            </w:pPr>
            <w:r>
              <w:t>10 000</w:t>
            </w:r>
          </w:p>
        </w:tc>
      </w:tr>
    </w:tbl>
    <w:p w14:paraId="4776A9BD" w14:textId="77777777" w:rsidR="005D07A6" w:rsidRDefault="00F42774">
      <w:pPr>
        <w:pStyle w:val="CT"/>
        <w:rPr>
          <w:rFonts w:eastAsiaTheme="minorEastAsia"/>
        </w:rPr>
      </w:pPr>
      <w:r>
        <w:t>Coût unitaire indirect par produit P1 : 60 000/1 500 = 40.</w:t>
      </w:r>
    </w:p>
    <w:p w14:paraId="2E5A94B9" w14:textId="77777777" w:rsidR="005D07A6" w:rsidRDefault="00F42774">
      <w:pPr>
        <w:pStyle w:val="CT"/>
      </w:pPr>
      <w:r>
        <w:t>Coût unitaire indirect par produit P2 : 10 000/500 = 20.</w:t>
      </w:r>
    </w:p>
    <w:p w14:paraId="6408479C" w14:textId="77777777" w:rsidR="005D07A6" w:rsidRDefault="00F42774">
      <w:pPr>
        <w:pStyle w:val="CT"/>
      </w:pPr>
      <w:r>
        <w:t>Ce premier calcul repose sur l’hypothèse d’une homogénéité des charges indirectes du centre de production et suppose que l’unité d’œuvre retenue traduise l’activité de ce centre.</w:t>
      </w:r>
    </w:p>
    <w:p w14:paraId="2CB013AD" w14:textId="77777777" w:rsidR="005D07A6" w:rsidRDefault="00F42774">
      <w:pPr>
        <w:pStyle w:val="CT"/>
      </w:pPr>
      <w:r>
        <w:t>Le produit P1 supporte plus de charges indirectes puisque l’unité d’œuvre est de nature volumique et le P1 est produit en grandes quantités par rapport au P2.</w:t>
      </w:r>
    </w:p>
    <w:p w14:paraId="79EF8BD1" w14:textId="77777777" w:rsidR="005D07A6" w:rsidRDefault="00F42774">
      <w:pPr>
        <w:pStyle w:val="TNiv1"/>
      </w:pPr>
      <w:r>
        <w:t>2. Le centre de production comporte en fait deux activités : le montage et le contrôle</w:t>
      </w:r>
    </w:p>
    <w:p w14:paraId="75D3C510" w14:textId="77777777" w:rsidR="005D07A6" w:rsidRDefault="00F42774">
      <w:pPr>
        <w:pStyle w:val="CT"/>
      </w:pPr>
      <w:r>
        <w:t>Cette deuxième approche conduit à rejeter l’hypothèse d’homogénéité des charges indirectes en distinguant deux centres d’analyse ayant chacun leur unité d’œuvre.</w:t>
      </w:r>
    </w:p>
    <w:tbl>
      <w:tblPr>
        <w:tblW w:w="5942" w:type="dxa"/>
        <w:tblInd w:w="1701" w:type="dxa"/>
        <w:tblLook w:val="04A0" w:firstRow="1" w:lastRow="0" w:firstColumn="1" w:lastColumn="0" w:noHBand="0" w:noVBand="1"/>
      </w:tblPr>
      <w:tblGrid>
        <w:gridCol w:w="2740"/>
        <w:gridCol w:w="1601"/>
        <w:gridCol w:w="1601"/>
      </w:tblGrid>
      <w:tr w:rsidR="005D07A6" w14:paraId="21BDE987" w14:textId="77777777">
        <w:tc>
          <w:tcPr>
            <w:tcW w:w="2055" w:type="dxa"/>
            <w:tcBorders>
              <w:top w:val="nil"/>
              <w:left w:val="nil"/>
              <w:bottom w:val="single" w:sz="4" w:space="0" w:color="auto"/>
              <w:right w:val="single" w:sz="4" w:space="0" w:color="auto"/>
            </w:tcBorders>
            <w:tcMar>
              <w:top w:w="0" w:type="dxa"/>
              <w:left w:w="2" w:type="dxa"/>
              <w:bottom w:w="0" w:type="dxa"/>
              <w:right w:w="2" w:type="dxa"/>
            </w:tcMar>
            <w:vAlign w:val="center"/>
            <w:hideMark/>
          </w:tcPr>
          <w:p w14:paraId="583BE5A1" w14:textId="77777777" w:rsidR="005D07A6" w:rsidRDefault="005D07A6"/>
        </w:tc>
        <w:tc>
          <w:tcPr>
            <w:tcW w:w="120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CE54435" w14:textId="77777777" w:rsidR="005D07A6" w:rsidRDefault="00F42774">
            <w:pPr>
              <w:pStyle w:val="TA1"/>
              <w:jc w:val="center"/>
              <w:rPr>
                <w:rFonts w:eastAsiaTheme="minorEastAsia"/>
              </w:rPr>
            </w:pPr>
            <w:r>
              <w:rPr>
                <w:b/>
                <w:bCs/>
              </w:rPr>
              <w:t>P1</w:t>
            </w:r>
          </w:p>
        </w:tc>
        <w:tc>
          <w:tcPr>
            <w:tcW w:w="120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2765C40" w14:textId="77777777" w:rsidR="005D07A6" w:rsidRDefault="00F42774">
            <w:pPr>
              <w:pStyle w:val="TA1"/>
              <w:jc w:val="center"/>
              <w:rPr>
                <w:rFonts w:eastAsiaTheme="minorEastAsia"/>
              </w:rPr>
            </w:pPr>
            <w:r>
              <w:rPr>
                <w:b/>
                <w:bCs/>
              </w:rPr>
              <w:t>P2</w:t>
            </w:r>
          </w:p>
        </w:tc>
      </w:tr>
      <w:tr w:rsidR="005D07A6" w14:paraId="32F5B6BB" w14:textId="77777777">
        <w:tc>
          <w:tcPr>
            <w:tcW w:w="20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DB4B790" w14:textId="77777777" w:rsidR="005D07A6" w:rsidRDefault="00F42774">
            <w:pPr>
              <w:pStyle w:val="TA1"/>
              <w:rPr>
                <w:rFonts w:eastAsiaTheme="minorEastAsia"/>
              </w:rPr>
            </w:pPr>
            <w:r>
              <w:t>Temps de contrôle par produit</w:t>
            </w:r>
          </w:p>
        </w:tc>
        <w:tc>
          <w:tcPr>
            <w:tcW w:w="12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8F2C8C8" w14:textId="77777777" w:rsidR="005D07A6" w:rsidRDefault="00F42774">
            <w:pPr>
              <w:pStyle w:val="TA1"/>
              <w:jc w:val="center"/>
              <w:rPr>
                <w:rFonts w:eastAsiaTheme="minorEastAsia"/>
              </w:rPr>
            </w:pPr>
            <w:r>
              <w:t>0,02 heure</w:t>
            </w:r>
          </w:p>
        </w:tc>
        <w:tc>
          <w:tcPr>
            <w:tcW w:w="12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50D86B5" w14:textId="77777777" w:rsidR="005D07A6" w:rsidRDefault="00F42774">
            <w:pPr>
              <w:pStyle w:val="TA1"/>
              <w:jc w:val="center"/>
              <w:rPr>
                <w:rFonts w:eastAsiaTheme="minorEastAsia"/>
              </w:rPr>
            </w:pPr>
            <w:r>
              <w:t>0,06 heure</w:t>
            </w:r>
          </w:p>
        </w:tc>
      </w:tr>
    </w:tbl>
    <w:p w14:paraId="176FE9C5" w14:textId="77777777" w:rsidR="005D07A6" w:rsidRDefault="005D07A6">
      <w:pPr>
        <w:pStyle w:val="CTEspDessous"/>
        <w:rPr>
          <w:rFonts w:eastAsiaTheme="minorEastAsia"/>
        </w:rPr>
      </w:pPr>
    </w:p>
    <w:tbl>
      <w:tblPr>
        <w:tblW w:w="5942" w:type="dxa"/>
        <w:tblInd w:w="1701" w:type="dxa"/>
        <w:tblLook w:val="04A0" w:firstRow="1" w:lastRow="0" w:firstColumn="1" w:lastColumn="0" w:noHBand="0" w:noVBand="1"/>
      </w:tblPr>
      <w:tblGrid>
        <w:gridCol w:w="2740"/>
        <w:gridCol w:w="1601"/>
        <w:gridCol w:w="1601"/>
      </w:tblGrid>
      <w:tr w:rsidR="005D07A6" w14:paraId="13DC87D4" w14:textId="77777777">
        <w:tc>
          <w:tcPr>
            <w:tcW w:w="2055" w:type="dxa"/>
            <w:tcBorders>
              <w:top w:val="nil"/>
              <w:left w:val="nil"/>
              <w:bottom w:val="single" w:sz="4" w:space="0" w:color="auto"/>
              <w:right w:val="single" w:sz="4" w:space="0" w:color="auto"/>
            </w:tcBorders>
            <w:tcMar>
              <w:top w:w="0" w:type="dxa"/>
              <w:left w:w="2" w:type="dxa"/>
              <w:bottom w:w="0" w:type="dxa"/>
              <w:right w:w="2" w:type="dxa"/>
            </w:tcMar>
            <w:hideMark/>
          </w:tcPr>
          <w:p w14:paraId="3B67E922" w14:textId="77777777" w:rsidR="005D07A6" w:rsidRDefault="005D07A6"/>
        </w:tc>
        <w:tc>
          <w:tcPr>
            <w:tcW w:w="120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C678A88" w14:textId="77777777" w:rsidR="005D07A6" w:rsidRDefault="00F42774">
            <w:pPr>
              <w:pStyle w:val="TA1"/>
              <w:jc w:val="center"/>
              <w:rPr>
                <w:rFonts w:eastAsiaTheme="minorEastAsia"/>
              </w:rPr>
            </w:pPr>
            <w:r>
              <w:rPr>
                <w:b/>
                <w:bCs/>
              </w:rPr>
              <w:t>Montage</w:t>
            </w:r>
          </w:p>
        </w:tc>
        <w:tc>
          <w:tcPr>
            <w:tcW w:w="120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B3A3A54" w14:textId="77777777" w:rsidR="005D07A6" w:rsidRDefault="00F42774">
            <w:pPr>
              <w:pStyle w:val="TA1"/>
              <w:jc w:val="center"/>
              <w:rPr>
                <w:rFonts w:eastAsiaTheme="minorEastAsia"/>
              </w:rPr>
            </w:pPr>
            <w:r>
              <w:rPr>
                <w:b/>
                <w:bCs/>
              </w:rPr>
              <w:t>Contrôle</w:t>
            </w:r>
          </w:p>
        </w:tc>
      </w:tr>
      <w:tr w:rsidR="005D07A6" w14:paraId="748AC1ED" w14:textId="77777777">
        <w:tc>
          <w:tcPr>
            <w:tcW w:w="205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E53854B" w14:textId="77777777" w:rsidR="005D07A6" w:rsidRDefault="00F42774">
            <w:pPr>
              <w:pStyle w:val="TA1"/>
              <w:rPr>
                <w:rFonts w:eastAsiaTheme="minorEastAsia"/>
              </w:rPr>
            </w:pPr>
            <w:r>
              <w:t>Total après répartition secondaire</w:t>
            </w:r>
          </w:p>
        </w:tc>
        <w:tc>
          <w:tcPr>
            <w:tcW w:w="12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52D4758" w14:textId="77777777" w:rsidR="005D07A6" w:rsidRDefault="00F42774">
            <w:pPr>
              <w:pStyle w:val="TA1"/>
              <w:jc w:val="center"/>
              <w:rPr>
                <w:rFonts w:eastAsiaTheme="minorEastAsia"/>
              </w:rPr>
            </w:pPr>
            <w:r>
              <w:t>49 000</w:t>
            </w:r>
          </w:p>
        </w:tc>
        <w:tc>
          <w:tcPr>
            <w:tcW w:w="12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516BE2E" w14:textId="77777777" w:rsidR="005D07A6" w:rsidRDefault="00F42774">
            <w:pPr>
              <w:pStyle w:val="TA1"/>
              <w:jc w:val="center"/>
              <w:rPr>
                <w:rFonts w:eastAsiaTheme="minorEastAsia"/>
              </w:rPr>
            </w:pPr>
            <w:r>
              <w:t>À déterminer</w:t>
            </w:r>
          </w:p>
        </w:tc>
      </w:tr>
      <w:tr w:rsidR="005D07A6" w14:paraId="311C78CA" w14:textId="77777777">
        <w:tc>
          <w:tcPr>
            <w:tcW w:w="2055" w:type="dxa"/>
            <w:tcBorders>
              <w:top w:val="nil"/>
              <w:left w:val="single" w:sz="4" w:space="0" w:color="auto"/>
              <w:bottom w:val="nil"/>
              <w:right w:val="single" w:sz="4" w:space="0" w:color="auto"/>
            </w:tcBorders>
            <w:tcMar>
              <w:top w:w="0" w:type="dxa"/>
              <w:left w:w="2" w:type="dxa"/>
              <w:bottom w:w="0" w:type="dxa"/>
              <w:right w:w="2" w:type="dxa"/>
            </w:tcMar>
            <w:hideMark/>
          </w:tcPr>
          <w:p w14:paraId="0A3E8B6D" w14:textId="77777777" w:rsidR="005D07A6" w:rsidRDefault="00F42774">
            <w:pPr>
              <w:pStyle w:val="TA1"/>
              <w:rPr>
                <w:rFonts w:eastAsiaTheme="minorEastAsia"/>
              </w:rPr>
            </w:pPr>
            <w:r>
              <w:t>Unité d’œuvre</w:t>
            </w:r>
          </w:p>
        </w:tc>
        <w:tc>
          <w:tcPr>
            <w:tcW w:w="1200" w:type="dxa"/>
            <w:tcBorders>
              <w:top w:val="nil"/>
              <w:left w:val="single" w:sz="4" w:space="0" w:color="auto"/>
              <w:bottom w:val="nil"/>
              <w:right w:val="single" w:sz="4" w:space="0" w:color="auto"/>
            </w:tcBorders>
            <w:tcMar>
              <w:top w:w="0" w:type="dxa"/>
              <w:left w:w="2" w:type="dxa"/>
              <w:bottom w:w="0" w:type="dxa"/>
              <w:right w:w="2" w:type="dxa"/>
            </w:tcMar>
            <w:hideMark/>
          </w:tcPr>
          <w:p w14:paraId="1C777E7C" w14:textId="77777777" w:rsidR="005D07A6" w:rsidRDefault="00F42774">
            <w:pPr>
              <w:pStyle w:val="TA1"/>
              <w:jc w:val="center"/>
              <w:rPr>
                <w:rFonts w:eastAsiaTheme="minorEastAsia"/>
              </w:rPr>
            </w:pPr>
            <w:r>
              <w:t>Tonne produite</w:t>
            </w:r>
          </w:p>
        </w:tc>
        <w:tc>
          <w:tcPr>
            <w:tcW w:w="1200" w:type="dxa"/>
            <w:tcBorders>
              <w:top w:val="nil"/>
              <w:left w:val="single" w:sz="4" w:space="0" w:color="auto"/>
              <w:bottom w:val="nil"/>
              <w:right w:val="single" w:sz="4" w:space="0" w:color="auto"/>
            </w:tcBorders>
            <w:tcMar>
              <w:top w:w="0" w:type="dxa"/>
              <w:left w:w="2" w:type="dxa"/>
              <w:bottom w:w="0" w:type="dxa"/>
              <w:right w:w="2" w:type="dxa"/>
            </w:tcMar>
            <w:hideMark/>
          </w:tcPr>
          <w:p w14:paraId="2F3C2321" w14:textId="77777777" w:rsidR="005D07A6" w:rsidRDefault="00F42774">
            <w:pPr>
              <w:pStyle w:val="TA1"/>
              <w:jc w:val="center"/>
              <w:rPr>
                <w:rFonts w:eastAsiaTheme="minorEastAsia"/>
              </w:rPr>
            </w:pPr>
            <w:r>
              <w:t>Temps passé</w:t>
            </w:r>
          </w:p>
        </w:tc>
      </w:tr>
      <w:tr w:rsidR="005D07A6" w14:paraId="5D8DAE7B" w14:textId="77777777">
        <w:tc>
          <w:tcPr>
            <w:tcW w:w="2055" w:type="dxa"/>
            <w:tcBorders>
              <w:top w:val="nil"/>
              <w:left w:val="single" w:sz="4" w:space="0" w:color="auto"/>
              <w:bottom w:val="nil"/>
              <w:right w:val="single" w:sz="4" w:space="0" w:color="auto"/>
            </w:tcBorders>
            <w:tcMar>
              <w:top w:w="0" w:type="dxa"/>
              <w:left w:w="2" w:type="dxa"/>
              <w:bottom w:w="0" w:type="dxa"/>
              <w:right w:w="2" w:type="dxa"/>
            </w:tcMar>
            <w:hideMark/>
          </w:tcPr>
          <w:p w14:paraId="2C52A205" w14:textId="77777777" w:rsidR="005D07A6" w:rsidRDefault="00F42774">
            <w:pPr>
              <w:pStyle w:val="TA1"/>
              <w:rPr>
                <w:rFonts w:eastAsiaTheme="minorEastAsia"/>
              </w:rPr>
            </w:pPr>
            <w:r>
              <w:t>Nombre d’unités d’œuvre</w:t>
            </w:r>
          </w:p>
        </w:tc>
        <w:tc>
          <w:tcPr>
            <w:tcW w:w="1200" w:type="dxa"/>
            <w:tcBorders>
              <w:top w:val="nil"/>
              <w:left w:val="single" w:sz="4" w:space="0" w:color="auto"/>
              <w:bottom w:val="nil"/>
              <w:right w:val="single" w:sz="4" w:space="0" w:color="auto"/>
            </w:tcBorders>
            <w:tcMar>
              <w:top w:w="0" w:type="dxa"/>
              <w:left w:w="2" w:type="dxa"/>
              <w:bottom w:w="0" w:type="dxa"/>
              <w:right w:w="2" w:type="dxa"/>
            </w:tcMar>
            <w:hideMark/>
          </w:tcPr>
          <w:p w14:paraId="791E5BFA" w14:textId="77777777" w:rsidR="005D07A6" w:rsidRDefault="00F42774">
            <w:pPr>
              <w:pStyle w:val="TA1"/>
              <w:jc w:val="center"/>
              <w:rPr>
                <w:rFonts w:eastAsiaTheme="minorEastAsia"/>
              </w:rPr>
            </w:pPr>
            <w:r>
              <w:t>350</w:t>
            </w:r>
          </w:p>
        </w:tc>
        <w:tc>
          <w:tcPr>
            <w:tcW w:w="1200" w:type="dxa"/>
            <w:tcBorders>
              <w:top w:val="nil"/>
              <w:left w:val="single" w:sz="4" w:space="0" w:color="auto"/>
              <w:bottom w:val="nil"/>
              <w:right w:val="single" w:sz="4" w:space="0" w:color="auto"/>
            </w:tcBorders>
            <w:tcMar>
              <w:top w:w="0" w:type="dxa"/>
              <w:left w:w="2" w:type="dxa"/>
              <w:bottom w:w="0" w:type="dxa"/>
              <w:right w:w="2" w:type="dxa"/>
            </w:tcMar>
            <w:hideMark/>
          </w:tcPr>
          <w:p w14:paraId="1CBB6E93" w14:textId="77777777" w:rsidR="005D07A6" w:rsidRDefault="00F42774">
            <w:pPr>
              <w:pStyle w:val="TA1"/>
              <w:jc w:val="center"/>
              <w:rPr>
                <w:rFonts w:eastAsiaTheme="minorEastAsia"/>
              </w:rPr>
            </w:pPr>
            <w:r>
              <w:t>À déterminer</w:t>
            </w:r>
          </w:p>
        </w:tc>
      </w:tr>
      <w:tr w:rsidR="005D07A6" w14:paraId="53B15195" w14:textId="77777777">
        <w:tc>
          <w:tcPr>
            <w:tcW w:w="205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F6B7D8D" w14:textId="77777777" w:rsidR="005D07A6" w:rsidRDefault="00F42774">
            <w:pPr>
              <w:pStyle w:val="TA1"/>
              <w:rPr>
                <w:rFonts w:eastAsiaTheme="minorEastAsia"/>
              </w:rPr>
            </w:pPr>
            <w:r>
              <w:t>Coût de l’unité d’œuvre</w:t>
            </w:r>
          </w:p>
        </w:tc>
        <w:tc>
          <w:tcPr>
            <w:tcW w:w="12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9BC4E08" w14:textId="77777777" w:rsidR="005D07A6" w:rsidRDefault="00F42774">
            <w:pPr>
              <w:pStyle w:val="TA1"/>
              <w:jc w:val="center"/>
              <w:rPr>
                <w:rFonts w:eastAsiaTheme="minorEastAsia"/>
              </w:rPr>
            </w:pPr>
            <w:r>
              <w:t>À déterminer</w:t>
            </w:r>
          </w:p>
        </w:tc>
        <w:tc>
          <w:tcPr>
            <w:tcW w:w="12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80A7182" w14:textId="77777777" w:rsidR="005D07A6" w:rsidRDefault="00F42774">
            <w:pPr>
              <w:pStyle w:val="TA1"/>
              <w:jc w:val="center"/>
              <w:rPr>
                <w:rFonts w:eastAsiaTheme="minorEastAsia"/>
              </w:rPr>
            </w:pPr>
            <w:r>
              <w:t>À déterminer</w:t>
            </w:r>
          </w:p>
        </w:tc>
      </w:tr>
    </w:tbl>
    <w:p w14:paraId="5493944C" w14:textId="77777777" w:rsidR="005D07A6" w:rsidRDefault="00F42774">
      <w:pPr>
        <w:pStyle w:val="CT"/>
        <w:rPr>
          <w:rFonts w:eastAsiaTheme="minorEastAsia"/>
        </w:rPr>
      </w:pPr>
      <w:r>
        <w:t>Nombre d’unités d’œuvre pour le contrôle : 1 500 × 0,02 + 500 × 0,06 = 30 + 30 = 60</w:t>
      </w:r>
    </w:p>
    <w:p w14:paraId="3CAD1947" w14:textId="77777777" w:rsidR="005D07A6" w:rsidRDefault="00F42774">
      <w:pPr>
        <w:pStyle w:val="TT"/>
      </w:pPr>
      <w:r>
        <w:t>Étude des charges indirectes de production avec ces nouvelles informations</w:t>
      </w:r>
    </w:p>
    <w:tbl>
      <w:tblPr>
        <w:tblW w:w="5942" w:type="dxa"/>
        <w:tblInd w:w="1701" w:type="dxa"/>
        <w:tblLook w:val="04A0" w:firstRow="1" w:lastRow="0" w:firstColumn="1" w:lastColumn="0" w:noHBand="0" w:noVBand="1"/>
      </w:tblPr>
      <w:tblGrid>
        <w:gridCol w:w="2740"/>
        <w:gridCol w:w="1601"/>
        <w:gridCol w:w="1601"/>
      </w:tblGrid>
      <w:tr w:rsidR="005D07A6" w14:paraId="30D349EE" w14:textId="77777777">
        <w:tc>
          <w:tcPr>
            <w:tcW w:w="2055" w:type="dxa"/>
            <w:tcBorders>
              <w:top w:val="nil"/>
              <w:left w:val="nil"/>
              <w:bottom w:val="single" w:sz="4" w:space="0" w:color="auto"/>
              <w:right w:val="single" w:sz="4" w:space="0" w:color="auto"/>
            </w:tcBorders>
            <w:tcMar>
              <w:top w:w="0" w:type="dxa"/>
              <w:left w:w="2" w:type="dxa"/>
              <w:bottom w:w="0" w:type="dxa"/>
              <w:right w:w="2" w:type="dxa"/>
            </w:tcMar>
            <w:hideMark/>
          </w:tcPr>
          <w:p w14:paraId="57AF8153" w14:textId="77777777" w:rsidR="005D07A6" w:rsidRDefault="005D07A6"/>
        </w:tc>
        <w:tc>
          <w:tcPr>
            <w:tcW w:w="120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3012067" w14:textId="77777777" w:rsidR="005D07A6" w:rsidRDefault="00F42774">
            <w:pPr>
              <w:pStyle w:val="TA1"/>
              <w:jc w:val="center"/>
              <w:rPr>
                <w:rFonts w:eastAsiaTheme="minorEastAsia"/>
              </w:rPr>
            </w:pPr>
            <w:r>
              <w:rPr>
                <w:b/>
                <w:bCs/>
              </w:rPr>
              <w:t>Montage</w:t>
            </w:r>
          </w:p>
        </w:tc>
        <w:tc>
          <w:tcPr>
            <w:tcW w:w="120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D44BB53" w14:textId="77777777" w:rsidR="005D07A6" w:rsidRDefault="00F42774">
            <w:pPr>
              <w:pStyle w:val="TA1"/>
              <w:jc w:val="center"/>
              <w:rPr>
                <w:rFonts w:eastAsiaTheme="minorEastAsia"/>
              </w:rPr>
            </w:pPr>
            <w:r>
              <w:rPr>
                <w:b/>
                <w:bCs/>
              </w:rPr>
              <w:t>Contrôle</w:t>
            </w:r>
          </w:p>
        </w:tc>
      </w:tr>
      <w:tr w:rsidR="005D07A6" w14:paraId="35F657C8" w14:textId="77777777">
        <w:tc>
          <w:tcPr>
            <w:tcW w:w="205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4C7F3B9" w14:textId="77777777" w:rsidR="005D07A6" w:rsidRDefault="00F42774">
            <w:pPr>
              <w:pStyle w:val="TA1"/>
              <w:rPr>
                <w:rFonts w:eastAsiaTheme="minorEastAsia"/>
              </w:rPr>
            </w:pPr>
            <w:r>
              <w:t>Total après répartition secondaire</w:t>
            </w:r>
          </w:p>
        </w:tc>
        <w:tc>
          <w:tcPr>
            <w:tcW w:w="12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5DDC5E3" w14:textId="77777777" w:rsidR="005D07A6" w:rsidRDefault="00F42774">
            <w:pPr>
              <w:pStyle w:val="TA1"/>
              <w:jc w:val="center"/>
              <w:rPr>
                <w:rFonts w:eastAsiaTheme="minorEastAsia"/>
              </w:rPr>
            </w:pPr>
            <w:r>
              <w:t>49 000</w:t>
            </w:r>
          </w:p>
        </w:tc>
        <w:tc>
          <w:tcPr>
            <w:tcW w:w="12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7FD92D2" w14:textId="77777777" w:rsidR="005D07A6" w:rsidRDefault="00F42774">
            <w:pPr>
              <w:pStyle w:val="TA1"/>
              <w:jc w:val="center"/>
              <w:rPr>
                <w:rFonts w:eastAsiaTheme="minorEastAsia"/>
              </w:rPr>
            </w:pPr>
            <w:r>
              <w:t>21 000</w:t>
            </w:r>
          </w:p>
        </w:tc>
      </w:tr>
      <w:tr w:rsidR="005D07A6" w14:paraId="79B60162" w14:textId="77777777">
        <w:tc>
          <w:tcPr>
            <w:tcW w:w="2055" w:type="dxa"/>
            <w:tcBorders>
              <w:top w:val="nil"/>
              <w:left w:val="single" w:sz="4" w:space="0" w:color="auto"/>
              <w:bottom w:val="nil"/>
              <w:right w:val="single" w:sz="4" w:space="0" w:color="auto"/>
            </w:tcBorders>
            <w:tcMar>
              <w:top w:w="0" w:type="dxa"/>
              <w:left w:w="2" w:type="dxa"/>
              <w:bottom w:w="0" w:type="dxa"/>
              <w:right w:w="2" w:type="dxa"/>
            </w:tcMar>
            <w:hideMark/>
          </w:tcPr>
          <w:p w14:paraId="46927729" w14:textId="77777777" w:rsidR="005D07A6" w:rsidRDefault="00F42774">
            <w:pPr>
              <w:pStyle w:val="TA1"/>
              <w:rPr>
                <w:rFonts w:eastAsiaTheme="minorEastAsia"/>
              </w:rPr>
            </w:pPr>
            <w:r>
              <w:t>Unité d’œuvre</w:t>
            </w:r>
          </w:p>
        </w:tc>
        <w:tc>
          <w:tcPr>
            <w:tcW w:w="1200" w:type="dxa"/>
            <w:tcBorders>
              <w:top w:val="nil"/>
              <w:left w:val="single" w:sz="4" w:space="0" w:color="auto"/>
              <w:bottom w:val="nil"/>
              <w:right w:val="single" w:sz="4" w:space="0" w:color="auto"/>
            </w:tcBorders>
            <w:tcMar>
              <w:top w:w="0" w:type="dxa"/>
              <w:left w:w="2" w:type="dxa"/>
              <w:bottom w:w="0" w:type="dxa"/>
              <w:right w:w="2" w:type="dxa"/>
            </w:tcMar>
            <w:hideMark/>
          </w:tcPr>
          <w:p w14:paraId="7BF2421F" w14:textId="77777777" w:rsidR="005D07A6" w:rsidRDefault="00F42774">
            <w:pPr>
              <w:pStyle w:val="TA1"/>
              <w:jc w:val="center"/>
              <w:rPr>
                <w:rFonts w:eastAsiaTheme="minorEastAsia"/>
              </w:rPr>
            </w:pPr>
            <w:r>
              <w:t>Tonne produite</w:t>
            </w:r>
          </w:p>
        </w:tc>
        <w:tc>
          <w:tcPr>
            <w:tcW w:w="1200" w:type="dxa"/>
            <w:tcBorders>
              <w:top w:val="nil"/>
              <w:left w:val="single" w:sz="4" w:space="0" w:color="auto"/>
              <w:bottom w:val="nil"/>
              <w:right w:val="single" w:sz="4" w:space="0" w:color="auto"/>
            </w:tcBorders>
            <w:tcMar>
              <w:top w:w="0" w:type="dxa"/>
              <w:left w:w="2" w:type="dxa"/>
              <w:bottom w:w="0" w:type="dxa"/>
              <w:right w:w="2" w:type="dxa"/>
            </w:tcMar>
            <w:hideMark/>
          </w:tcPr>
          <w:p w14:paraId="17DFA47D" w14:textId="77777777" w:rsidR="005D07A6" w:rsidRDefault="00F42774">
            <w:pPr>
              <w:pStyle w:val="TA1"/>
              <w:jc w:val="center"/>
              <w:rPr>
                <w:rFonts w:eastAsiaTheme="minorEastAsia"/>
              </w:rPr>
            </w:pPr>
            <w:r>
              <w:t>Temps passé</w:t>
            </w:r>
          </w:p>
        </w:tc>
      </w:tr>
      <w:tr w:rsidR="005D07A6" w14:paraId="26F1FF6D" w14:textId="77777777">
        <w:tc>
          <w:tcPr>
            <w:tcW w:w="2055" w:type="dxa"/>
            <w:tcBorders>
              <w:top w:val="nil"/>
              <w:left w:val="single" w:sz="4" w:space="0" w:color="auto"/>
              <w:bottom w:val="nil"/>
              <w:right w:val="single" w:sz="4" w:space="0" w:color="auto"/>
            </w:tcBorders>
            <w:tcMar>
              <w:top w:w="0" w:type="dxa"/>
              <w:left w:w="2" w:type="dxa"/>
              <w:bottom w:w="0" w:type="dxa"/>
              <w:right w:w="2" w:type="dxa"/>
            </w:tcMar>
            <w:hideMark/>
          </w:tcPr>
          <w:p w14:paraId="566012B9" w14:textId="77777777" w:rsidR="005D07A6" w:rsidRDefault="00F42774">
            <w:pPr>
              <w:pStyle w:val="TA1"/>
              <w:rPr>
                <w:rFonts w:eastAsiaTheme="minorEastAsia"/>
              </w:rPr>
            </w:pPr>
            <w:r>
              <w:t>Nombre d’unités d’œuvre</w:t>
            </w:r>
          </w:p>
        </w:tc>
        <w:tc>
          <w:tcPr>
            <w:tcW w:w="1200" w:type="dxa"/>
            <w:tcBorders>
              <w:top w:val="nil"/>
              <w:left w:val="single" w:sz="4" w:space="0" w:color="auto"/>
              <w:bottom w:val="nil"/>
              <w:right w:val="single" w:sz="4" w:space="0" w:color="auto"/>
            </w:tcBorders>
            <w:tcMar>
              <w:top w:w="0" w:type="dxa"/>
              <w:left w:w="2" w:type="dxa"/>
              <w:bottom w:w="0" w:type="dxa"/>
              <w:right w:w="2" w:type="dxa"/>
            </w:tcMar>
            <w:hideMark/>
          </w:tcPr>
          <w:p w14:paraId="3EBB2271" w14:textId="77777777" w:rsidR="005D07A6" w:rsidRDefault="00F42774">
            <w:pPr>
              <w:pStyle w:val="TA1"/>
              <w:jc w:val="center"/>
              <w:rPr>
                <w:rFonts w:eastAsiaTheme="minorEastAsia"/>
              </w:rPr>
            </w:pPr>
            <w:r>
              <w:t>350</w:t>
            </w:r>
          </w:p>
        </w:tc>
        <w:tc>
          <w:tcPr>
            <w:tcW w:w="1200" w:type="dxa"/>
            <w:tcBorders>
              <w:top w:val="nil"/>
              <w:left w:val="single" w:sz="4" w:space="0" w:color="auto"/>
              <w:bottom w:val="nil"/>
              <w:right w:val="single" w:sz="4" w:space="0" w:color="auto"/>
            </w:tcBorders>
            <w:tcMar>
              <w:top w:w="0" w:type="dxa"/>
              <w:left w:w="2" w:type="dxa"/>
              <w:bottom w:w="0" w:type="dxa"/>
              <w:right w:w="2" w:type="dxa"/>
            </w:tcMar>
            <w:hideMark/>
          </w:tcPr>
          <w:p w14:paraId="2C251DB9" w14:textId="77777777" w:rsidR="005D07A6" w:rsidRDefault="00F42774">
            <w:pPr>
              <w:pStyle w:val="TA1"/>
              <w:jc w:val="center"/>
              <w:rPr>
                <w:rFonts w:eastAsiaTheme="minorEastAsia"/>
              </w:rPr>
            </w:pPr>
            <w:r>
              <w:t>60 heures</w:t>
            </w:r>
          </w:p>
        </w:tc>
      </w:tr>
      <w:tr w:rsidR="005D07A6" w14:paraId="18C4A98B" w14:textId="77777777">
        <w:tc>
          <w:tcPr>
            <w:tcW w:w="205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CE0BB6F" w14:textId="77777777" w:rsidR="005D07A6" w:rsidRDefault="00F42774">
            <w:pPr>
              <w:pStyle w:val="TA1"/>
              <w:rPr>
                <w:rFonts w:eastAsiaTheme="minorEastAsia"/>
              </w:rPr>
            </w:pPr>
            <w:r>
              <w:t>Coût de l’unité d’œuvre</w:t>
            </w:r>
          </w:p>
        </w:tc>
        <w:tc>
          <w:tcPr>
            <w:tcW w:w="12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4836C10" w14:textId="77777777" w:rsidR="005D07A6" w:rsidRDefault="00F42774">
            <w:pPr>
              <w:pStyle w:val="TA1"/>
              <w:jc w:val="center"/>
              <w:rPr>
                <w:rFonts w:eastAsiaTheme="minorEastAsia"/>
              </w:rPr>
            </w:pPr>
            <w:r>
              <w:t>140</w:t>
            </w:r>
          </w:p>
        </w:tc>
        <w:tc>
          <w:tcPr>
            <w:tcW w:w="12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0D57A62" w14:textId="77777777" w:rsidR="005D07A6" w:rsidRDefault="00F42774">
            <w:pPr>
              <w:pStyle w:val="TA1"/>
              <w:jc w:val="center"/>
              <w:rPr>
                <w:rFonts w:eastAsiaTheme="minorEastAsia"/>
              </w:rPr>
            </w:pPr>
            <w:r>
              <w:t>350</w:t>
            </w:r>
          </w:p>
        </w:tc>
      </w:tr>
    </w:tbl>
    <w:p w14:paraId="4BA8E5DB" w14:textId="77777777" w:rsidR="005D07A6" w:rsidRDefault="00F42774">
      <w:pPr>
        <w:pStyle w:val="TT"/>
        <w:rPr>
          <w:rFonts w:eastAsiaTheme="minorEastAsia"/>
        </w:rPr>
      </w:pPr>
      <w:r>
        <w:t>Charges indirectes de production imputées</w:t>
      </w:r>
    </w:p>
    <w:tbl>
      <w:tblPr>
        <w:tblW w:w="5999" w:type="dxa"/>
        <w:tblInd w:w="1701" w:type="dxa"/>
        <w:tblLook w:val="04A0" w:firstRow="1" w:lastRow="0" w:firstColumn="1" w:lastColumn="0" w:noHBand="0" w:noVBand="1"/>
      </w:tblPr>
      <w:tblGrid>
        <w:gridCol w:w="1771"/>
        <w:gridCol w:w="689"/>
        <w:gridCol w:w="689"/>
        <w:gridCol w:w="736"/>
        <w:gridCol w:w="689"/>
        <w:gridCol w:w="689"/>
        <w:gridCol w:w="736"/>
      </w:tblGrid>
      <w:tr w:rsidR="005D07A6" w14:paraId="4BEB54FF" w14:textId="77777777">
        <w:tc>
          <w:tcPr>
            <w:tcW w:w="1350" w:type="dxa"/>
            <w:tcBorders>
              <w:top w:val="nil"/>
              <w:left w:val="nil"/>
              <w:bottom w:val="nil"/>
              <w:right w:val="single" w:sz="4" w:space="0" w:color="auto"/>
            </w:tcBorders>
            <w:tcMar>
              <w:top w:w="0" w:type="dxa"/>
              <w:left w:w="2" w:type="dxa"/>
              <w:bottom w:w="0" w:type="dxa"/>
              <w:right w:w="2" w:type="dxa"/>
            </w:tcMar>
            <w:vAlign w:val="center"/>
            <w:hideMark/>
          </w:tcPr>
          <w:p w14:paraId="2986D5EB" w14:textId="77777777" w:rsidR="005D07A6" w:rsidRDefault="005D07A6"/>
        </w:tc>
        <w:tc>
          <w:tcPr>
            <w:tcW w:w="52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4C961F4" w14:textId="77777777" w:rsidR="005D07A6" w:rsidRDefault="00F42774">
            <w:pPr>
              <w:pStyle w:val="TA1"/>
              <w:jc w:val="center"/>
              <w:rPr>
                <w:rFonts w:eastAsiaTheme="minorEastAsia"/>
              </w:rPr>
            </w:pPr>
            <w:r>
              <w:rPr>
                <w:b/>
                <w:bCs/>
              </w:rPr>
              <w:t>P1</w:t>
            </w:r>
          </w:p>
        </w:tc>
        <w:tc>
          <w:tcPr>
            <w:tcW w:w="52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CBF8F5B" w14:textId="77777777" w:rsidR="005D07A6" w:rsidRDefault="00F42774">
            <w:pPr>
              <w:pStyle w:val="TA1"/>
              <w:jc w:val="center"/>
              <w:rPr>
                <w:rFonts w:eastAsiaTheme="minorEastAsia"/>
              </w:rPr>
            </w:pPr>
            <w:r>
              <w:rPr>
                <w:b/>
                <w:bCs/>
              </w:rPr>
              <w:t>P2</w:t>
            </w:r>
          </w:p>
        </w:tc>
      </w:tr>
      <w:tr w:rsidR="005D07A6" w14:paraId="6A3BB264" w14:textId="77777777">
        <w:tc>
          <w:tcPr>
            <w:tcW w:w="1350" w:type="dxa"/>
            <w:tcBorders>
              <w:top w:val="nil"/>
              <w:left w:val="nil"/>
              <w:bottom w:val="single" w:sz="4" w:space="0" w:color="auto"/>
              <w:right w:val="single" w:sz="4" w:space="0" w:color="auto"/>
            </w:tcBorders>
            <w:tcMar>
              <w:top w:w="0" w:type="dxa"/>
              <w:left w:w="2" w:type="dxa"/>
              <w:bottom w:w="0" w:type="dxa"/>
              <w:right w:w="2" w:type="dxa"/>
            </w:tcMar>
            <w:hideMark/>
          </w:tcPr>
          <w:p w14:paraId="1E28AAA8"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927B7B7" w14:textId="77777777" w:rsidR="005D07A6" w:rsidRDefault="00F42774">
            <w:pPr>
              <w:pStyle w:val="TA1"/>
              <w:jc w:val="center"/>
              <w:rPr>
                <w:rFonts w:eastAsiaTheme="minorEastAsia"/>
              </w:rPr>
            </w:pPr>
            <w:r>
              <w:rPr>
                <w:b/>
                <w:bCs/>
              </w:rPr>
              <w:t>Q</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3BFA24D" w14:textId="77777777" w:rsidR="005D07A6" w:rsidRDefault="00F42774">
            <w:pPr>
              <w:pStyle w:val="TA1"/>
              <w:jc w:val="center"/>
              <w:rPr>
                <w:rFonts w:eastAsiaTheme="minorEastAsia"/>
              </w:rPr>
            </w:pPr>
            <w:r>
              <w:rPr>
                <w:b/>
                <w:bCs/>
              </w:rPr>
              <w:t>CU</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9C22E01" w14:textId="77777777" w:rsidR="005D07A6" w:rsidRDefault="00F42774">
            <w:pPr>
              <w:pStyle w:val="TA1"/>
              <w:jc w:val="center"/>
              <w:rPr>
                <w:rFonts w:eastAsiaTheme="minorEastAsia"/>
              </w:rPr>
            </w:pPr>
            <w:r>
              <w:rPr>
                <w:b/>
                <w:bCs/>
              </w:rPr>
              <w:t>Total</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96BA185" w14:textId="77777777" w:rsidR="005D07A6" w:rsidRDefault="00F42774">
            <w:pPr>
              <w:pStyle w:val="TA1"/>
              <w:jc w:val="center"/>
              <w:rPr>
                <w:rFonts w:eastAsiaTheme="minorEastAsia"/>
              </w:rPr>
            </w:pPr>
            <w:r>
              <w:rPr>
                <w:b/>
                <w:bCs/>
              </w:rPr>
              <w:t>Q</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1205E42" w14:textId="77777777" w:rsidR="005D07A6" w:rsidRDefault="00F42774">
            <w:pPr>
              <w:pStyle w:val="TA1"/>
              <w:jc w:val="center"/>
              <w:rPr>
                <w:rFonts w:eastAsiaTheme="minorEastAsia"/>
              </w:rPr>
            </w:pPr>
            <w:r>
              <w:rPr>
                <w:b/>
                <w:bCs/>
              </w:rPr>
              <w:t>CU</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1CCD607" w14:textId="77777777" w:rsidR="005D07A6" w:rsidRDefault="00F42774">
            <w:pPr>
              <w:pStyle w:val="TA1"/>
              <w:jc w:val="center"/>
              <w:rPr>
                <w:rFonts w:eastAsiaTheme="minorEastAsia"/>
              </w:rPr>
            </w:pPr>
            <w:r>
              <w:rPr>
                <w:b/>
                <w:bCs/>
              </w:rPr>
              <w:t>Total</w:t>
            </w:r>
          </w:p>
        </w:tc>
      </w:tr>
      <w:tr w:rsidR="005D07A6" w14:paraId="66C669A8" w14:textId="77777777">
        <w:tc>
          <w:tcPr>
            <w:tcW w:w="135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F379D18" w14:textId="77777777" w:rsidR="005D07A6" w:rsidRDefault="00F42774">
            <w:pPr>
              <w:pStyle w:val="TA1"/>
              <w:rPr>
                <w:rFonts w:eastAsiaTheme="minorEastAsia"/>
              </w:rPr>
            </w:pPr>
            <w:r>
              <w:t>Montage</w:t>
            </w:r>
          </w:p>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392515F" w14:textId="77777777" w:rsidR="005D07A6" w:rsidRDefault="00F42774">
            <w:pPr>
              <w:pStyle w:val="TA1"/>
              <w:jc w:val="center"/>
              <w:rPr>
                <w:rFonts w:eastAsiaTheme="minorEastAsia"/>
              </w:rPr>
            </w:pPr>
            <w:r>
              <w:t>300</w:t>
            </w:r>
          </w:p>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F48976E" w14:textId="77777777" w:rsidR="005D07A6" w:rsidRDefault="00F42774">
            <w:pPr>
              <w:pStyle w:val="TA1"/>
              <w:jc w:val="center"/>
              <w:rPr>
                <w:rFonts w:eastAsiaTheme="minorEastAsia"/>
              </w:rPr>
            </w:pPr>
            <w:r>
              <w:t>140</w:t>
            </w:r>
          </w:p>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EE642B6" w14:textId="77777777" w:rsidR="005D07A6" w:rsidRDefault="00F42774">
            <w:pPr>
              <w:pStyle w:val="TA1"/>
              <w:jc w:val="center"/>
              <w:rPr>
                <w:rFonts w:eastAsiaTheme="minorEastAsia"/>
              </w:rPr>
            </w:pPr>
            <w:r>
              <w:t>42 000</w:t>
            </w:r>
          </w:p>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299FB64" w14:textId="77777777" w:rsidR="005D07A6" w:rsidRDefault="00F42774">
            <w:pPr>
              <w:pStyle w:val="TA1"/>
              <w:jc w:val="center"/>
              <w:rPr>
                <w:rFonts w:eastAsiaTheme="minorEastAsia"/>
              </w:rPr>
            </w:pPr>
            <w:r>
              <w:t>50</w:t>
            </w:r>
          </w:p>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84DD270" w14:textId="77777777" w:rsidR="005D07A6" w:rsidRDefault="00F42774">
            <w:pPr>
              <w:pStyle w:val="TA1"/>
              <w:jc w:val="center"/>
              <w:rPr>
                <w:rFonts w:eastAsiaTheme="minorEastAsia"/>
              </w:rPr>
            </w:pPr>
            <w:r>
              <w:t>140</w:t>
            </w:r>
          </w:p>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C8F0BDA" w14:textId="77777777" w:rsidR="005D07A6" w:rsidRDefault="00F42774">
            <w:pPr>
              <w:pStyle w:val="TA1"/>
              <w:jc w:val="center"/>
              <w:rPr>
                <w:rFonts w:eastAsiaTheme="minorEastAsia"/>
              </w:rPr>
            </w:pPr>
            <w:r>
              <w:t>7 000</w:t>
            </w:r>
          </w:p>
        </w:tc>
      </w:tr>
      <w:tr w:rsidR="005D07A6" w14:paraId="0EB06D41" w14:textId="77777777">
        <w:tc>
          <w:tcPr>
            <w:tcW w:w="135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4D04C76" w14:textId="77777777" w:rsidR="005D07A6" w:rsidRDefault="00F42774">
            <w:pPr>
              <w:pStyle w:val="TA1"/>
              <w:rPr>
                <w:rFonts w:eastAsiaTheme="minorEastAsia"/>
              </w:rPr>
            </w:pPr>
            <w:r>
              <w:t>Contrôle</w:t>
            </w:r>
          </w:p>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612436E" w14:textId="77777777" w:rsidR="005D07A6" w:rsidRDefault="00F42774">
            <w:pPr>
              <w:pStyle w:val="TA1"/>
              <w:jc w:val="center"/>
              <w:rPr>
                <w:rFonts w:eastAsiaTheme="minorEastAsia"/>
              </w:rPr>
            </w:pPr>
            <w:r>
              <w:t>30</w:t>
            </w:r>
          </w:p>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5B19067" w14:textId="77777777" w:rsidR="005D07A6" w:rsidRDefault="00F42774">
            <w:pPr>
              <w:pStyle w:val="TA1"/>
              <w:jc w:val="center"/>
              <w:rPr>
                <w:rFonts w:eastAsiaTheme="minorEastAsia"/>
              </w:rPr>
            </w:pPr>
            <w:r>
              <w:t>350</w:t>
            </w:r>
          </w:p>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7FD9729" w14:textId="77777777" w:rsidR="005D07A6" w:rsidRDefault="00F42774">
            <w:pPr>
              <w:pStyle w:val="TA1"/>
              <w:jc w:val="center"/>
              <w:rPr>
                <w:rFonts w:eastAsiaTheme="minorEastAsia"/>
              </w:rPr>
            </w:pPr>
            <w:r>
              <w:t>10 500</w:t>
            </w:r>
          </w:p>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69CCE45" w14:textId="77777777" w:rsidR="005D07A6" w:rsidRDefault="00F42774">
            <w:pPr>
              <w:pStyle w:val="TA1"/>
              <w:jc w:val="center"/>
              <w:rPr>
                <w:rFonts w:eastAsiaTheme="minorEastAsia"/>
              </w:rPr>
            </w:pPr>
            <w:r>
              <w:t>30</w:t>
            </w:r>
          </w:p>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8A206C2" w14:textId="77777777" w:rsidR="005D07A6" w:rsidRDefault="00F42774">
            <w:pPr>
              <w:pStyle w:val="TA1"/>
              <w:jc w:val="center"/>
              <w:rPr>
                <w:rFonts w:eastAsiaTheme="minorEastAsia"/>
              </w:rPr>
            </w:pPr>
            <w:r>
              <w:t>350</w:t>
            </w:r>
          </w:p>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AEA0436" w14:textId="77777777" w:rsidR="005D07A6" w:rsidRDefault="00F42774">
            <w:pPr>
              <w:pStyle w:val="TA1"/>
              <w:jc w:val="center"/>
              <w:rPr>
                <w:rFonts w:eastAsiaTheme="minorEastAsia"/>
              </w:rPr>
            </w:pPr>
            <w:r>
              <w:t>10 500</w:t>
            </w:r>
          </w:p>
        </w:tc>
      </w:tr>
      <w:tr w:rsidR="005D07A6" w14:paraId="56FFA5FB" w14:textId="77777777">
        <w:tc>
          <w:tcPr>
            <w:tcW w:w="13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15BFDBA" w14:textId="77777777" w:rsidR="005D07A6" w:rsidRDefault="00F42774">
            <w:pPr>
              <w:pStyle w:val="TA1"/>
              <w:rPr>
                <w:rFonts w:eastAsiaTheme="minorEastAsia"/>
              </w:rPr>
            </w:pPr>
            <w:r>
              <w:rPr>
                <w:b/>
                <w:bCs/>
              </w:rPr>
              <w:t>Charges indirectes</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1219B5D"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15233F9"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9A0B498" w14:textId="77777777" w:rsidR="005D07A6" w:rsidRDefault="00F42774">
            <w:pPr>
              <w:pStyle w:val="TA1"/>
              <w:jc w:val="center"/>
              <w:rPr>
                <w:rFonts w:eastAsiaTheme="minorEastAsia"/>
              </w:rPr>
            </w:pPr>
            <w:r>
              <w:t>52 500</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53CFC98"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FB310BC"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395DB01" w14:textId="77777777" w:rsidR="005D07A6" w:rsidRDefault="00F42774">
            <w:pPr>
              <w:pStyle w:val="TA1"/>
              <w:jc w:val="center"/>
              <w:rPr>
                <w:rFonts w:eastAsiaTheme="minorEastAsia"/>
              </w:rPr>
            </w:pPr>
            <w:r>
              <w:t>17 500</w:t>
            </w:r>
          </w:p>
        </w:tc>
      </w:tr>
    </w:tbl>
    <w:p w14:paraId="288F6853" w14:textId="77777777" w:rsidR="005D07A6" w:rsidRDefault="00F42774">
      <w:pPr>
        <w:pStyle w:val="CT"/>
        <w:rPr>
          <w:rFonts w:eastAsiaTheme="minorEastAsia"/>
        </w:rPr>
      </w:pPr>
      <w:r>
        <w:t>Coût unitaire indirect par produit P1 : 52 500/1 500 = 35 (au lieu de 40).</w:t>
      </w:r>
    </w:p>
    <w:p w14:paraId="20A1FF56" w14:textId="77777777" w:rsidR="005D07A6" w:rsidRDefault="00F42774">
      <w:pPr>
        <w:pStyle w:val="CT"/>
      </w:pPr>
      <w:r>
        <w:t>Coût unitaire indirect par produit P2 : 17 500/500 = 35 (au lieu de 20).</w:t>
      </w:r>
    </w:p>
    <w:p w14:paraId="01CD4F27" w14:textId="77777777" w:rsidR="005D07A6" w:rsidRDefault="00F42774">
      <w:pPr>
        <w:pStyle w:val="CT"/>
      </w:pPr>
      <w:r>
        <w:t>Cette deuxième approche permet un calcul plus précis en mettant en évidence le coût du contrôle de chaque produit. Elle montre aussi que le coût de P1 était surestimé avec la première approche car le coût du contrôle n’était pas pris en compte.</w:t>
      </w:r>
    </w:p>
    <w:p w14:paraId="3C623487" w14:textId="77777777" w:rsidR="005D07A6" w:rsidRDefault="00F42774">
      <w:pPr>
        <w:pStyle w:val="CT"/>
      </w:pPr>
      <w:r>
        <w:t>Il est à noter que les unités d’œuvre sont toujours de nature volumique et que le coût du contrôle d’un produit P1 est égal à 10 500/1 500 = 7 € et que celui d’un produit P2 est égal à 10 500/500 = 21 €.</w:t>
      </w:r>
    </w:p>
    <w:p w14:paraId="1E860314" w14:textId="77777777" w:rsidR="005D07A6" w:rsidRDefault="00F42774">
      <w:pPr>
        <w:pStyle w:val="TNiv1"/>
      </w:pPr>
      <w:r>
        <w:t>3. L’activité de contrôle est en fait réalisée par lots dont la taille dépend du produit</w:t>
      </w:r>
    </w:p>
    <w:tbl>
      <w:tblPr>
        <w:tblW w:w="5942" w:type="dxa"/>
        <w:tblInd w:w="1701" w:type="dxa"/>
        <w:tblLook w:val="04A0" w:firstRow="1" w:lastRow="0" w:firstColumn="1" w:lastColumn="0" w:noHBand="0" w:noVBand="1"/>
      </w:tblPr>
      <w:tblGrid>
        <w:gridCol w:w="2740"/>
        <w:gridCol w:w="1601"/>
        <w:gridCol w:w="1601"/>
      </w:tblGrid>
      <w:tr w:rsidR="005D07A6" w14:paraId="2A0E05A4" w14:textId="77777777">
        <w:tc>
          <w:tcPr>
            <w:tcW w:w="2055" w:type="dxa"/>
            <w:tcBorders>
              <w:top w:val="nil"/>
              <w:left w:val="nil"/>
              <w:bottom w:val="single" w:sz="4" w:space="0" w:color="auto"/>
              <w:right w:val="single" w:sz="4" w:space="0" w:color="auto"/>
            </w:tcBorders>
            <w:tcMar>
              <w:top w:w="0" w:type="dxa"/>
              <w:left w:w="2" w:type="dxa"/>
              <w:bottom w:w="0" w:type="dxa"/>
              <w:right w:w="2" w:type="dxa"/>
            </w:tcMar>
            <w:vAlign w:val="center"/>
            <w:hideMark/>
          </w:tcPr>
          <w:p w14:paraId="1630CD31" w14:textId="77777777" w:rsidR="005D07A6" w:rsidRDefault="005D07A6"/>
        </w:tc>
        <w:tc>
          <w:tcPr>
            <w:tcW w:w="120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93C89BE" w14:textId="77777777" w:rsidR="005D07A6" w:rsidRDefault="00F42774">
            <w:pPr>
              <w:pStyle w:val="TA1"/>
              <w:jc w:val="center"/>
              <w:rPr>
                <w:rFonts w:eastAsiaTheme="minorEastAsia"/>
              </w:rPr>
            </w:pPr>
            <w:r>
              <w:rPr>
                <w:b/>
                <w:bCs/>
              </w:rPr>
              <w:t>P1</w:t>
            </w:r>
          </w:p>
        </w:tc>
        <w:tc>
          <w:tcPr>
            <w:tcW w:w="120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27D4006" w14:textId="77777777" w:rsidR="005D07A6" w:rsidRDefault="00F42774">
            <w:pPr>
              <w:pStyle w:val="TA1"/>
              <w:jc w:val="center"/>
              <w:rPr>
                <w:rFonts w:eastAsiaTheme="minorEastAsia"/>
              </w:rPr>
            </w:pPr>
            <w:r>
              <w:rPr>
                <w:b/>
                <w:bCs/>
              </w:rPr>
              <w:t>P2</w:t>
            </w:r>
          </w:p>
        </w:tc>
      </w:tr>
      <w:tr w:rsidR="005D07A6" w14:paraId="04036E75" w14:textId="77777777">
        <w:tc>
          <w:tcPr>
            <w:tcW w:w="205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6FB27C9" w14:textId="77777777" w:rsidR="005D07A6" w:rsidRDefault="00F42774">
            <w:pPr>
              <w:pStyle w:val="TA1"/>
              <w:rPr>
                <w:rFonts w:eastAsiaTheme="minorEastAsia"/>
              </w:rPr>
            </w:pPr>
            <w:r>
              <w:t>Nombre de lots</w:t>
            </w:r>
          </w:p>
        </w:tc>
        <w:tc>
          <w:tcPr>
            <w:tcW w:w="12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C32479A" w14:textId="77777777" w:rsidR="005D07A6" w:rsidRDefault="00F42774">
            <w:pPr>
              <w:pStyle w:val="TA1"/>
              <w:jc w:val="center"/>
              <w:rPr>
                <w:rFonts w:eastAsiaTheme="minorEastAsia"/>
              </w:rPr>
            </w:pPr>
            <w:r>
              <w:t>2 lots</w:t>
            </w:r>
          </w:p>
        </w:tc>
        <w:tc>
          <w:tcPr>
            <w:tcW w:w="12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FF1A2E8" w14:textId="77777777" w:rsidR="005D07A6" w:rsidRDefault="00F42774">
            <w:pPr>
              <w:pStyle w:val="TA1"/>
              <w:jc w:val="center"/>
              <w:rPr>
                <w:rFonts w:eastAsiaTheme="minorEastAsia"/>
              </w:rPr>
            </w:pPr>
            <w:r>
              <w:t>10 lots</w:t>
            </w:r>
          </w:p>
        </w:tc>
      </w:tr>
      <w:tr w:rsidR="005D07A6" w14:paraId="70D15267" w14:textId="77777777">
        <w:tc>
          <w:tcPr>
            <w:tcW w:w="205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2B13F9F" w14:textId="77777777" w:rsidR="005D07A6" w:rsidRDefault="00F42774">
            <w:pPr>
              <w:pStyle w:val="TA1"/>
              <w:rPr>
                <w:rFonts w:eastAsiaTheme="minorEastAsia"/>
              </w:rPr>
            </w:pPr>
            <w:r>
              <w:t>Taille du lot</w:t>
            </w:r>
          </w:p>
        </w:tc>
        <w:tc>
          <w:tcPr>
            <w:tcW w:w="12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4E26452" w14:textId="77777777" w:rsidR="005D07A6" w:rsidRDefault="00F42774">
            <w:pPr>
              <w:pStyle w:val="TA1"/>
              <w:jc w:val="center"/>
              <w:rPr>
                <w:rFonts w:eastAsiaTheme="minorEastAsia"/>
              </w:rPr>
            </w:pPr>
            <w:r>
              <w:t>750</w:t>
            </w:r>
          </w:p>
        </w:tc>
        <w:tc>
          <w:tcPr>
            <w:tcW w:w="12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C2F620C" w14:textId="77777777" w:rsidR="005D07A6" w:rsidRDefault="00F42774">
            <w:pPr>
              <w:pStyle w:val="TA1"/>
              <w:jc w:val="center"/>
              <w:rPr>
                <w:rFonts w:eastAsiaTheme="minorEastAsia"/>
              </w:rPr>
            </w:pPr>
            <w:r>
              <w:t>50</w:t>
            </w:r>
          </w:p>
        </w:tc>
      </w:tr>
    </w:tbl>
    <w:p w14:paraId="295336ED" w14:textId="77777777" w:rsidR="005D07A6" w:rsidRDefault="00F42774">
      <w:pPr>
        <w:pStyle w:val="CT"/>
        <w:rPr>
          <w:rFonts w:eastAsiaTheme="minorEastAsia"/>
        </w:rPr>
      </w:pPr>
      <w:r>
        <w:t>Cette troisième approche rejette également l’hypothèse d’homogénéité des charges indirectes et appréhende le contrôle non plus en fonction du temps unitaire (approche volumique) mais en fonction du nombre de lots.</w:t>
      </w:r>
    </w:p>
    <w:p w14:paraId="786EDF29" w14:textId="77777777" w:rsidR="005D07A6" w:rsidRDefault="00F42774">
      <w:pPr>
        <w:pStyle w:val="CT"/>
      </w:pPr>
      <w:r>
        <w:t>Coût du lot contrôlé : 21 000/(2 + 10) = 21 000/12 = 1 750</w:t>
      </w:r>
    </w:p>
    <w:p w14:paraId="50742985" w14:textId="77777777" w:rsidR="005D07A6" w:rsidRDefault="00F42774">
      <w:pPr>
        <w:pStyle w:val="CT"/>
      </w:pPr>
      <w:r>
        <w:t>Il est important de comprendre qu’il ne s’agit pas d’un coût par produit, mais par lot, le nombre de lots permettant de réaliser la production totale.</w:t>
      </w:r>
    </w:p>
    <w:p w14:paraId="1369B673" w14:textId="77777777" w:rsidR="005D07A6" w:rsidRDefault="00F42774">
      <w:pPr>
        <w:pStyle w:val="CT"/>
      </w:pPr>
      <w:r>
        <w:t>Ce coût est ventilé entre les produits :</w:t>
      </w:r>
    </w:p>
    <w:tbl>
      <w:tblPr>
        <w:tblW w:w="7643" w:type="dxa"/>
        <w:tblInd w:w="1701" w:type="dxa"/>
        <w:tblLook w:val="04A0" w:firstRow="1" w:lastRow="0" w:firstColumn="1" w:lastColumn="0" w:noHBand="0" w:noVBand="1"/>
      </w:tblPr>
      <w:tblGrid>
        <w:gridCol w:w="3521"/>
        <w:gridCol w:w="2061"/>
        <w:gridCol w:w="2061"/>
      </w:tblGrid>
      <w:tr w:rsidR="005D07A6" w14:paraId="2D2E161C" w14:textId="77777777">
        <w:tc>
          <w:tcPr>
            <w:tcW w:w="2640" w:type="dxa"/>
            <w:tcBorders>
              <w:top w:val="nil"/>
              <w:left w:val="nil"/>
              <w:bottom w:val="single" w:sz="4" w:space="0" w:color="auto"/>
              <w:right w:val="single" w:sz="4" w:space="0" w:color="auto"/>
            </w:tcBorders>
            <w:tcMar>
              <w:top w:w="0" w:type="dxa"/>
              <w:left w:w="2" w:type="dxa"/>
              <w:bottom w:w="0" w:type="dxa"/>
              <w:right w:w="2" w:type="dxa"/>
            </w:tcMar>
            <w:vAlign w:val="center"/>
            <w:hideMark/>
          </w:tcPr>
          <w:p w14:paraId="5989192A" w14:textId="77777777" w:rsidR="005D07A6" w:rsidRDefault="005D07A6"/>
        </w:tc>
        <w:tc>
          <w:tcPr>
            <w:tcW w:w="154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B9753B8" w14:textId="77777777" w:rsidR="005D07A6" w:rsidRDefault="00F42774">
            <w:pPr>
              <w:pStyle w:val="TA1"/>
              <w:jc w:val="center"/>
              <w:rPr>
                <w:rFonts w:eastAsiaTheme="minorEastAsia"/>
              </w:rPr>
            </w:pPr>
            <w:r>
              <w:rPr>
                <w:b/>
                <w:bCs/>
              </w:rPr>
              <w:t>P1</w:t>
            </w:r>
          </w:p>
        </w:tc>
        <w:tc>
          <w:tcPr>
            <w:tcW w:w="154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773B685" w14:textId="77777777" w:rsidR="005D07A6" w:rsidRDefault="00F42774">
            <w:pPr>
              <w:pStyle w:val="TA1"/>
              <w:jc w:val="center"/>
              <w:rPr>
                <w:rFonts w:eastAsiaTheme="minorEastAsia"/>
              </w:rPr>
            </w:pPr>
            <w:r>
              <w:rPr>
                <w:b/>
                <w:bCs/>
              </w:rPr>
              <w:t>P2</w:t>
            </w:r>
          </w:p>
        </w:tc>
      </w:tr>
      <w:tr w:rsidR="005D07A6" w14:paraId="28CE09B7" w14:textId="77777777">
        <w:tc>
          <w:tcPr>
            <w:tcW w:w="264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C130B82" w14:textId="77777777" w:rsidR="005D07A6" w:rsidRDefault="00F42774">
            <w:pPr>
              <w:pStyle w:val="TA1"/>
              <w:rPr>
                <w:rFonts w:eastAsiaTheme="minorEastAsia"/>
              </w:rPr>
            </w:pPr>
            <w:r>
              <w:t>Coût du lot contrôlé</w:t>
            </w:r>
          </w:p>
        </w:tc>
        <w:tc>
          <w:tcPr>
            <w:tcW w:w="15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1AD642C" w14:textId="77777777" w:rsidR="005D07A6" w:rsidRDefault="00F42774">
            <w:pPr>
              <w:pStyle w:val="TA1"/>
              <w:jc w:val="center"/>
              <w:rPr>
                <w:rFonts w:eastAsiaTheme="minorEastAsia"/>
              </w:rPr>
            </w:pPr>
            <w:r>
              <w:t>1 750</w:t>
            </w:r>
          </w:p>
        </w:tc>
        <w:tc>
          <w:tcPr>
            <w:tcW w:w="15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3E8E60B" w14:textId="77777777" w:rsidR="005D07A6" w:rsidRDefault="00F42774">
            <w:pPr>
              <w:pStyle w:val="TA1"/>
              <w:jc w:val="center"/>
              <w:rPr>
                <w:rFonts w:eastAsiaTheme="minorEastAsia"/>
              </w:rPr>
            </w:pPr>
            <w:r>
              <w:t>1 750</w:t>
            </w:r>
          </w:p>
        </w:tc>
      </w:tr>
      <w:tr w:rsidR="005D07A6" w14:paraId="21506F1E" w14:textId="77777777">
        <w:tc>
          <w:tcPr>
            <w:tcW w:w="264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3578388" w14:textId="77777777" w:rsidR="005D07A6" w:rsidRDefault="00F42774">
            <w:pPr>
              <w:pStyle w:val="TA1"/>
              <w:rPr>
                <w:rFonts w:eastAsiaTheme="minorEastAsia"/>
              </w:rPr>
            </w:pPr>
            <w:r>
              <w:t>Nombre de lots</w:t>
            </w:r>
          </w:p>
        </w:tc>
        <w:tc>
          <w:tcPr>
            <w:tcW w:w="15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F5DA7E9" w14:textId="77777777" w:rsidR="005D07A6" w:rsidRDefault="00F42774">
            <w:pPr>
              <w:pStyle w:val="TA1"/>
              <w:jc w:val="center"/>
              <w:rPr>
                <w:rFonts w:eastAsiaTheme="minorEastAsia"/>
              </w:rPr>
            </w:pPr>
            <w:r>
              <w:t>2</w:t>
            </w:r>
          </w:p>
        </w:tc>
        <w:tc>
          <w:tcPr>
            <w:tcW w:w="15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6FF75A0" w14:textId="77777777" w:rsidR="005D07A6" w:rsidRDefault="00F42774">
            <w:pPr>
              <w:pStyle w:val="TA1"/>
              <w:jc w:val="center"/>
              <w:rPr>
                <w:rFonts w:eastAsiaTheme="minorEastAsia"/>
              </w:rPr>
            </w:pPr>
            <w:r>
              <w:t>10</w:t>
            </w:r>
          </w:p>
        </w:tc>
      </w:tr>
      <w:tr w:rsidR="005D07A6" w14:paraId="70BEA921" w14:textId="77777777">
        <w:tc>
          <w:tcPr>
            <w:tcW w:w="26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5C38C45" w14:textId="77777777" w:rsidR="005D07A6" w:rsidRDefault="00F42774">
            <w:pPr>
              <w:pStyle w:val="TA1"/>
              <w:rPr>
                <w:rFonts w:eastAsiaTheme="minorEastAsia"/>
              </w:rPr>
            </w:pPr>
            <w:r>
              <w:t>Coût pour la production</w:t>
            </w:r>
          </w:p>
        </w:tc>
        <w:tc>
          <w:tcPr>
            <w:tcW w:w="15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9E8F9A6" w14:textId="77777777" w:rsidR="005D07A6" w:rsidRDefault="00F42774">
            <w:pPr>
              <w:pStyle w:val="TA1"/>
              <w:jc w:val="center"/>
              <w:rPr>
                <w:rFonts w:eastAsiaTheme="minorEastAsia"/>
              </w:rPr>
            </w:pPr>
            <w:r>
              <w:t>3 500</w:t>
            </w:r>
          </w:p>
        </w:tc>
        <w:tc>
          <w:tcPr>
            <w:tcW w:w="15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9BE3330" w14:textId="77777777" w:rsidR="005D07A6" w:rsidRDefault="00F42774">
            <w:pPr>
              <w:pStyle w:val="TA1"/>
              <w:jc w:val="center"/>
              <w:rPr>
                <w:rFonts w:eastAsiaTheme="minorEastAsia"/>
              </w:rPr>
            </w:pPr>
            <w:r>
              <w:t>17 500</w:t>
            </w:r>
          </w:p>
        </w:tc>
      </w:tr>
      <w:tr w:rsidR="005D07A6" w14:paraId="410B4D3F" w14:textId="77777777">
        <w:tc>
          <w:tcPr>
            <w:tcW w:w="26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D6B3805" w14:textId="77777777" w:rsidR="005D07A6" w:rsidRDefault="00F42774">
            <w:pPr>
              <w:pStyle w:val="TA1"/>
              <w:rPr>
                <w:rFonts w:eastAsiaTheme="minorEastAsia"/>
              </w:rPr>
            </w:pPr>
            <w:r>
              <w:t>Coût du contrôle pour un produit</w:t>
            </w:r>
          </w:p>
        </w:tc>
        <w:tc>
          <w:tcPr>
            <w:tcW w:w="15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550FA58" w14:textId="77777777" w:rsidR="005D07A6" w:rsidRDefault="00F42774">
            <w:pPr>
              <w:pStyle w:val="TA1"/>
              <w:jc w:val="center"/>
              <w:rPr>
                <w:rFonts w:eastAsiaTheme="minorEastAsia"/>
              </w:rPr>
            </w:pPr>
            <w:r>
              <w:t>2,3333</w:t>
            </w:r>
          </w:p>
        </w:tc>
        <w:tc>
          <w:tcPr>
            <w:tcW w:w="15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EA0FCB4" w14:textId="77777777" w:rsidR="005D07A6" w:rsidRDefault="00F42774">
            <w:pPr>
              <w:pStyle w:val="TA1"/>
              <w:jc w:val="center"/>
              <w:rPr>
                <w:rFonts w:eastAsiaTheme="minorEastAsia"/>
              </w:rPr>
            </w:pPr>
            <w:r>
              <w:t>35</w:t>
            </w:r>
          </w:p>
        </w:tc>
      </w:tr>
    </w:tbl>
    <w:p w14:paraId="699F4B24" w14:textId="77777777" w:rsidR="005D07A6" w:rsidRDefault="00F42774">
      <w:pPr>
        <w:pStyle w:val="TT"/>
        <w:rPr>
          <w:rFonts w:eastAsiaTheme="minorEastAsia"/>
        </w:rPr>
      </w:pPr>
      <w:r>
        <w:t>Charges indirectes de production imputées</w:t>
      </w:r>
    </w:p>
    <w:tbl>
      <w:tblPr>
        <w:tblW w:w="7620" w:type="dxa"/>
        <w:tblInd w:w="1701" w:type="dxa"/>
        <w:tblLook w:val="04A0" w:firstRow="1" w:lastRow="0" w:firstColumn="1" w:lastColumn="0" w:noHBand="0" w:noVBand="1"/>
      </w:tblPr>
      <w:tblGrid>
        <w:gridCol w:w="2340"/>
        <w:gridCol w:w="880"/>
        <w:gridCol w:w="880"/>
        <w:gridCol w:w="880"/>
        <w:gridCol w:w="880"/>
        <w:gridCol w:w="880"/>
        <w:gridCol w:w="880"/>
      </w:tblGrid>
      <w:tr w:rsidR="005D07A6" w14:paraId="440DB914" w14:textId="77777777">
        <w:tc>
          <w:tcPr>
            <w:tcW w:w="1755" w:type="dxa"/>
            <w:tcBorders>
              <w:top w:val="nil"/>
              <w:left w:val="nil"/>
              <w:bottom w:val="nil"/>
              <w:right w:val="single" w:sz="4" w:space="0" w:color="auto"/>
            </w:tcBorders>
            <w:tcMar>
              <w:top w:w="0" w:type="dxa"/>
              <w:left w:w="2" w:type="dxa"/>
              <w:bottom w:w="0" w:type="dxa"/>
              <w:right w:w="2" w:type="dxa"/>
            </w:tcMar>
            <w:vAlign w:val="center"/>
            <w:hideMark/>
          </w:tcPr>
          <w:p w14:paraId="1F129B71" w14:textId="77777777" w:rsidR="005D07A6" w:rsidRDefault="005D07A6"/>
        </w:tc>
        <w:tc>
          <w:tcPr>
            <w:tcW w:w="660"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7E1FF17" w14:textId="77777777" w:rsidR="005D07A6" w:rsidRDefault="00F42774">
            <w:pPr>
              <w:pStyle w:val="TA1"/>
              <w:jc w:val="center"/>
              <w:rPr>
                <w:rFonts w:eastAsiaTheme="minorEastAsia"/>
              </w:rPr>
            </w:pPr>
            <w:r>
              <w:rPr>
                <w:b/>
                <w:bCs/>
              </w:rPr>
              <w:t>P1</w:t>
            </w:r>
          </w:p>
        </w:tc>
        <w:tc>
          <w:tcPr>
            <w:tcW w:w="660"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403E24F" w14:textId="77777777" w:rsidR="005D07A6" w:rsidRDefault="00F42774">
            <w:pPr>
              <w:pStyle w:val="TA1"/>
              <w:jc w:val="center"/>
              <w:rPr>
                <w:rFonts w:eastAsiaTheme="minorEastAsia"/>
              </w:rPr>
            </w:pPr>
            <w:r>
              <w:rPr>
                <w:b/>
                <w:bCs/>
              </w:rPr>
              <w:t>P2</w:t>
            </w:r>
          </w:p>
        </w:tc>
      </w:tr>
      <w:tr w:rsidR="005D07A6" w14:paraId="51086E52" w14:textId="77777777">
        <w:tc>
          <w:tcPr>
            <w:tcW w:w="1755" w:type="dxa"/>
            <w:tcBorders>
              <w:top w:val="nil"/>
              <w:left w:val="nil"/>
              <w:bottom w:val="single" w:sz="4" w:space="0" w:color="auto"/>
              <w:right w:val="single" w:sz="4" w:space="0" w:color="auto"/>
            </w:tcBorders>
            <w:tcMar>
              <w:top w:w="0" w:type="dxa"/>
              <w:left w:w="2" w:type="dxa"/>
              <w:bottom w:w="0" w:type="dxa"/>
              <w:right w:w="2" w:type="dxa"/>
            </w:tcMar>
            <w:hideMark/>
          </w:tcPr>
          <w:p w14:paraId="5D821FF0" w14:textId="77777777" w:rsidR="005D07A6" w:rsidRDefault="005D07A6"/>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41014B3" w14:textId="77777777" w:rsidR="005D07A6" w:rsidRDefault="00F42774">
            <w:pPr>
              <w:pStyle w:val="TA1"/>
              <w:jc w:val="center"/>
              <w:rPr>
                <w:rFonts w:eastAsiaTheme="minorEastAsia"/>
              </w:rPr>
            </w:pPr>
            <w:r>
              <w:rPr>
                <w:b/>
                <w:bCs/>
              </w:rPr>
              <w:t>Q</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7F7010D" w14:textId="77777777" w:rsidR="005D07A6" w:rsidRDefault="00F42774">
            <w:pPr>
              <w:pStyle w:val="TA1"/>
              <w:jc w:val="center"/>
              <w:rPr>
                <w:rFonts w:eastAsiaTheme="minorEastAsia"/>
              </w:rPr>
            </w:pPr>
            <w:r>
              <w:rPr>
                <w:b/>
                <w:bCs/>
              </w:rPr>
              <w:t>CU</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9F02A63" w14:textId="77777777" w:rsidR="005D07A6" w:rsidRDefault="00F42774">
            <w:pPr>
              <w:pStyle w:val="TA1"/>
              <w:jc w:val="center"/>
              <w:rPr>
                <w:rFonts w:eastAsiaTheme="minorEastAsia"/>
              </w:rPr>
            </w:pPr>
            <w:r>
              <w:rPr>
                <w:b/>
                <w:bCs/>
              </w:rPr>
              <w:t>Total</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D96E990" w14:textId="77777777" w:rsidR="005D07A6" w:rsidRDefault="00F42774">
            <w:pPr>
              <w:pStyle w:val="TA1"/>
              <w:jc w:val="center"/>
              <w:rPr>
                <w:rFonts w:eastAsiaTheme="minorEastAsia"/>
              </w:rPr>
            </w:pPr>
            <w:r>
              <w:rPr>
                <w:b/>
                <w:bCs/>
              </w:rPr>
              <w:t>Q</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18B0BBC" w14:textId="77777777" w:rsidR="005D07A6" w:rsidRDefault="00F42774">
            <w:pPr>
              <w:pStyle w:val="TA1"/>
              <w:jc w:val="center"/>
              <w:rPr>
                <w:rFonts w:eastAsiaTheme="minorEastAsia"/>
              </w:rPr>
            </w:pPr>
            <w:r>
              <w:rPr>
                <w:b/>
                <w:bCs/>
              </w:rPr>
              <w:t>CU</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E4DFDA5" w14:textId="77777777" w:rsidR="005D07A6" w:rsidRDefault="00F42774">
            <w:pPr>
              <w:pStyle w:val="TA1"/>
              <w:jc w:val="center"/>
              <w:rPr>
                <w:rFonts w:eastAsiaTheme="minorEastAsia"/>
              </w:rPr>
            </w:pPr>
            <w:r>
              <w:rPr>
                <w:b/>
                <w:bCs/>
              </w:rPr>
              <w:t>Total</w:t>
            </w:r>
          </w:p>
        </w:tc>
      </w:tr>
      <w:tr w:rsidR="005D07A6" w14:paraId="376F291E" w14:textId="77777777">
        <w:tc>
          <w:tcPr>
            <w:tcW w:w="175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B7D0F4A" w14:textId="77777777" w:rsidR="005D07A6" w:rsidRDefault="00F42774">
            <w:pPr>
              <w:pStyle w:val="TA1"/>
              <w:rPr>
                <w:rFonts w:eastAsiaTheme="minorEastAsia"/>
              </w:rPr>
            </w:pPr>
            <w:r>
              <w:t>Montage</w:t>
            </w:r>
          </w:p>
        </w:tc>
        <w:tc>
          <w:tcPr>
            <w:tcW w:w="66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7C05903" w14:textId="77777777" w:rsidR="005D07A6" w:rsidRDefault="00F42774">
            <w:pPr>
              <w:pStyle w:val="TA1"/>
              <w:jc w:val="center"/>
              <w:rPr>
                <w:rFonts w:eastAsiaTheme="minorEastAsia"/>
              </w:rPr>
            </w:pPr>
            <w:r>
              <w:t>300</w:t>
            </w:r>
          </w:p>
        </w:tc>
        <w:tc>
          <w:tcPr>
            <w:tcW w:w="66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923745F" w14:textId="77777777" w:rsidR="005D07A6" w:rsidRDefault="00F42774">
            <w:pPr>
              <w:pStyle w:val="TA1"/>
              <w:jc w:val="center"/>
              <w:rPr>
                <w:rFonts w:eastAsiaTheme="minorEastAsia"/>
              </w:rPr>
            </w:pPr>
            <w:r>
              <w:t>140</w:t>
            </w:r>
          </w:p>
        </w:tc>
        <w:tc>
          <w:tcPr>
            <w:tcW w:w="66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03447C3" w14:textId="77777777" w:rsidR="005D07A6" w:rsidRDefault="00F42774">
            <w:pPr>
              <w:pStyle w:val="TA1"/>
              <w:jc w:val="center"/>
              <w:rPr>
                <w:rFonts w:eastAsiaTheme="minorEastAsia"/>
              </w:rPr>
            </w:pPr>
            <w:r>
              <w:t>42 000</w:t>
            </w:r>
          </w:p>
        </w:tc>
        <w:tc>
          <w:tcPr>
            <w:tcW w:w="66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0B1E938" w14:textId="77777777" w:rsidR="005D07A6" w:rsidRDefault="00F42774">
            <w:pPr>
              <w:pStyle w:val="TA1"/>
              <w:jc w:val="center"/>
              <w:rPr>
                <w:rFonts w:eastAsiaTheme="minorEastAsia"/>
              </w:rPr>
            </w:pPr>
            <w:r>
              <w:t>50</w:t>
            </w:r>
          </w:p>
        </w:tc>
        <w:tc>
          <w:tcPr>
            <w:tcW w:w="66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44CDA0A" w14:textId="77777777" w:rsidR="005D07A6" w:rsidRDefault="00F42774">
            <w:pPr>
              <w:pStyle w:val="TA1"/>
              <w:jc w:val="center"/>
              <w:rPr>
                <w:rFonts w:eastAsiaTheme="minorEastAsia"/>
              </w:rPr>
            </w:pPr>
            <w:r>
              <w:t>140</w:t>
            </w:r>
          </w:p>
        </w:tc>
        <w:tc>
          <w:tcPr>
            <w:tcW w:w="66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355A385" w14:textId="77777777" w:rsidR="005D07A6" w:rsidRDefault="00F42774">
            <w:pPr>
              <w:pStyle w:val="TA1"/>
              <w:jc w:val="center"/>
              <w:rPr>
                <w:rFonts w:eastAsiaTheme="minorEastAsia"/>
              </w:rPr>
            </w:pPr>
            <w:r>
              <w:t>7 000</w:t>
            </w:r>
          </w:p>
        </w:tc>
      </w:tr>
      <w:tr w:rsidR="005D07A6" w14:paraId="1551584A" w14:textId="77777777">
        <w:tc>
          <w:tcPr>
            <w:tcW w:w="175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E892ADB" w14:textId="77777777" w:rsidR="005D07A6" w:rsidRDefault="00F42774">
            <w:pPr>
              <w:pStyle w:val="TA1"/>
              <w:rPr>
                <w:rFonts w:eastAsiaTheme="minorEastAsia"/>
              </w:rPr>
            </w:pPr>
            <w:r>
              <w:t>Contrôle</w:t>
            </w:r>
          </w:p>
        </w:tc>
        <w:tc>
          <w:tcPr>
            <w:tcW w:w="66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F3DEDEC" w14:textId="77777777" w:rsidR="005D07A6" w:rsidRDefault="00F42774">
            <w:pPr>
              <w:pStyle w:val="TA1"/>
              <w:jc w:val="center"/>
              <w:rPr>
                <w:rFonts w:eastAsiaTheme="minorEastAsia"/>
              </w:rPr>
            </w:pPr>
            <w:r>
              <w:t>2</w:t>
            </w:r>
          </w:p>
        </w:tc>
        <w:tc>
          <w:tcPr>
            <w:tcW w:w="66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5DD52D1" w14:textId="77777777" w:rsidR="005D07A6" w:rsidRDefault="00F42774">
            <w:pPr>
              <w:pStyle w:val="TA1"/>
              <w:jc w:val="center"/>
              <w:rPr>
                <w:rFonts w:eastAsiaTheme="minorEastAsia"/>
              </w:rPr>
            </w:pPr>
            <w:r>
              <w:t>1 750</w:t>
            </w:r>
          </w:p>
        </w:tc>
        <w:tc>
          <w:tcPr>
            <w:tcW w:w="66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6BF2532" w14:textId="77777777" w:rsidR="005D07A6" w:rsidRDefault="00F42774">
            <w:pPr>
              <w:pStyle w:val="TA1"/>
              <w:jc w:val="center"/>
              <w:rPr>
                <w:rFonts w:eastAsiaTheme="minorEastAsia"/>
              </w:rPr>
            </w:pPr>
            <w:r>
              <w:t>3 500</w:t>
            </w:r>
          </w:p>
        </w:tc>
        <w:tc>
          <w:tcPr>
            <w:tcW w:w="66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E02C003" w14:textId="77777777" w:rsidR="005D07A6" w:rsidRDefault="00F42774">
            <w:pPr>
              <w:pStyle w:val="TA1"/>
              <w:jc w:val="center"/>
              <w:rPr>
                <w:rFonts w:eastAsiaTheme="minorEastAsia"/>
              </w:rPr>
            </w:pPr>
            <w:r>
              <w:t>10</w:t>
            </w:r>
          </w:p>
        </w:tc>
        <w:tc>
          <w:tcPr>
            <w:tcW w:w="66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A8D0C8E" w14:textId="77777777" w:rsidR="005D07A6" w:rsidRDefault="00F42774">
            <w:pPr>
              <w:pStyle w:val="TA1"/>
              <w:jc w:val="center"/>
              <w:rPr>
                <w:rFonts w:eastAsiaTheme="minorEastAsia"/>
              </w:rPr>
            </w:pPr>
            <w:r>
              <w:t>1 750</w:t>
            </w:r>
          </w:p>
        </w:tc>
        <w:tc>
          <w:tcPr>
            <w:tcW w:w="66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02778C7" w14:textId="77777777" w:rsidR="005D07A6" w:rsidRDefault="00F42774">
            <w:pPr>
              <w:pStyle w:val="TA1"/>
              <w:jc w:val="center"/>
              <w:rPr>
                <w:rFonts w:eastAsiaTheme="minorEastAsia"/>
              </w:rPr>
            </w:pPr>
            <w:r>
              <w:t>17 500</w:t>
            </w:r>
          </w:p>
        </w:tc>
      </w:tr>
      <w:tr w:rsidR="005D07A6" w14:paraId="5812DCB2" w14:textId="77777777">
        <w:tc>
          <w:tcPr>
            <w:tcW w:w="17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CB4DB3B" w14:textId="77777777" w:rsidR="005D07A6" w:rsidRDefault="00F42774">
            <w:pPr>
              <w:pStyle w:val="TA1"/>
              <w:rPr>
                <w:rFonts w:eastAsiaTheme="minorEastAsia"/>
              </w:rPr>
            </w:pPr>
            <w:r>
              <w:rPr>
                <w:b/>
                <w:bCs/>
              </w:rPr>
              <w:t>Charges indirectes</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14B6A28" w14:textId="77777777" w:rsidR="005D07A6" w:rsidRDefault="005D07A6"/>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53466F5" w14:textId="77777777" w:rsidR="005D07A6" w:rsidRDefault="005D07A6"/>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65EAA87" w14:textId="77777777" w:rsidR="005D07A6" w:rsidRDefault="00F42774">
            <w:pPr>
              <w:pStyle w:val="TA1"/>
              <w:jc w:val="center"/>
              <w:rPr>
                <w:rFonts w:eastAsiaTheme="minorEastAsia"/>
              </w:rPr>
            </w:pPr>
            <w:r>
              <w:t>45 500</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8C1020B" w14:textId="77777777" w:rsidR="005D07A6" w:rsidRDefault="005D07A6"/>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F78235C" w14:textId="77777777" w:rsidR="005D07A6" w:rsidRDefault="005D07A6"/>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EF13F37" w14:textId="77777777" w:rsidR="005D07A6" w:rsidRDefault="00F42774">
            <w:pPr>
              <w:pStyle w:val="TA1"/>
              <w:jc w:val="center"/>
              <w:rPr>
                <w:rFonts w:eastAsiaTheme="minorEastAsia"/>
              </w:rPr>
            </w:pPr>
            <w:r>
              <w:t>24 500</w:t>
            </w:r>
          </w:p>
        </w:tc>
      </w:tr>
    </w:tbl>
    <w:p w14:paraId="66A98FF3" w14:textId="77777777" w:rsidR="005D07A6" w:rsidRDefault="00F42774">
      <w:pPr>
        <w:pStyle w:val="CT"/>
        <w:rPr>
          <w:rFonts w:eastAsiaTheme="minorEastAsia"/>
        </w:rPr>
      </w:pPr>
      <w:r>
        <w:t>Coût unitaire indirect par produit P1 : 45 500/1 500 = 30,33 (au lieu de 40 puis 35).</w:t>
      </w:r>
    </w:p>
    <w:p w14:paraId="12043DB7" w14:textId="77777777" w:rsidR="005D07A6" w:rsidRDefault="00F42774">
      <w:pPr>
        <w:pStyle w:val="CT"/>
      </w:pPr>
      <w:r>
        <w:t>Coût unitaire indirect par produit P2 : 24 500/500 = 49 (au lieu de 20 puis 35).</w:t>
      </w:r>
    </w:p>
    <w:p w14:paraId="47C04030" w14:textId="77777777" w:rsidR="005D07A6" w:rsidRDefault="00F42774">
      <w:pPr>
        <w:pStyle w:val="CT"/>
      </w:pPr>
      <w:r>
        <w:t>Cette troisième approche appréhende l’activité de contrôle en fonction du nombre de lots contrôlés et montre que les produits P1 n’ont nécessité que deux contrôles contre dix pour les produits P2.</w:t>
      </w:r>
    </w:p>
    <w:p w14:paraId="356B5FCF" w14:textId="77777777" w:rsidR="005D07A6" w:rsidRDefault="00F42774">
      <w:pPr>
        <w:pStyle w:val="CT"/>
      </w:pPr>
      <w:r>
        <w:t>Ce troisième calcul montre que la deuxième approche volumique surévaluait le coût du contrôle des produits P1 (2,33 € avec le nombre de lots contre 7 € avec le temps de contrôle) et sous-évaluait celui des produits P2 (35 € avec le nombre de lots contre 21 € avec le temps de contrôle), car elle ne tenait pas compte du nombre de contrôles effectués.</w:t>
      </w:r>
    </w:p>
    <w:p w14:paraId="73475107" w14:textId="77777777" w:rsidR="005D07A6" w:rsidRDefault="00F42774">
      <w:pPr>
        <w:pStyle w:val="CT"/>
      </w:pPr>
      <w:r>
        <w:t xml:space="preserve">Cet exemple montre que l’hétérogénéité des activités du centre d’analyse aboutissait dans le premier calcul au </w:t>
      </w:r>
      <w:r>
        <w:rPr>
          <w:b/>
          <w:bCs/>
        </w:rPr>
        <w:t>subventionnement du produit P2</w:t>
      </w:r>
      <w:r>
        <w:t xml:space="preserve"> </w:t>
      </w:r>
      <w:r>
        <w:rPr>
          <w:b/>
          <w:bCs/>
        </w:rPr>
        <w:t>par le produit P1</w:t>
      </w:r>
      <w:r>
        <w:t xml:space="preserve">. </w:t>
      </w:r>
      <w:r>
        <w:rPr>
          <w:b/>
          <w:bCs/>
        </w:rPr>
        <w:t>En effet, l’unité d’œuvre retenue était volumique</w:t>
      </w:r>
      <w:r>
        <w:t xml:space="preserve">, c’est-à-dire liée au seul volume de production, et </w:t>
      </w:r>
      <w:r>
        <w:rPr>
          <w:b/>
          <w:bCs/>
        </w:rPr>
        <w:t>ne permettait pas d’appréhender la plus grande complexité du produit P2</w:t>
      </w:r>
      <w:r>
        <w:t xml:space="preserve"> (plus long à contrôler et produit en nombreuses séries de petite taille).</w:t>
      </w:r>
    </w:p>
    <w:p w14:paraId="11FC68AA" w14:textId="77777777" w:rsidR="005D07A6" w:rsidRDefault="00F42774">
      <w:pPr>
        <w:pStyle w:val="finfiletr"/>
      </w:pPr>
      <w:r>
        <w:t>Fin Application</w:t>
      </w:r>
    </w:p>
    <w:p w14:paraId="1B48039F" w14:textId="77777777" w:rsidR="005D07A6" w:rsidRDefault="00F42774">
      <w:pPr>
        <w:pStyle w:val="CTEspDessous"/>
      </w:pPr>
      <w:r>
        <w:rPr>
          <w:b/>
          <w:bCs/>
        </w:rPr>
        <w:t>Pour conclure</w:t>
      </w:r>
    </w:p>
    <w:p w14:paraId="34BFB7A4" w14:textId="77777777" w:rsidR="005D07A6" w:rsidRDefault="00F42774">
      <w:pPr>
        <w:pStyle w:val="CTEspDessous"/>
      </w:pPr>
      <w:r>
        <w:t xml:space="preserve">Le modèle classique de comptabilité de gestion est un modèle daté, fondé sur une approche fonctionnelle (cloisonnement des fonctions), centré sur le coût de production, et </w:t>
      </w:r>
      <w:r>
        <w:lastRenderedPageBreak/>
        <w:t>développé pour le secteur industriel. Il ne correspond plus aux nouvelles formes d’organisation caractérisées par le développement des autres fonctions, par des processus de production de plus en plus intégrés, par une approche transversale de la chaîne de valeur, et à une économie dont le secteur tertiaire devient la principale source d’activité.</w:t>
      </w:r>
    </w:p>
    <w:p w14:paraId="39F4CFFE" w14:textId="77777777" w:rsidR="005D07A6" w:rsidRDefault="00F42774">
      <w:pPr>
        <w:pStyle w:val="CTEspDessous"/>
      </w:pPr>
      <w:r>
        <w:t>Une mise en œuvre bornée du modèle traditionnel entraîne donc un risque d’arbitraire dans l’imputation des charges indirectes aux objets de coût.</w:t>
      </w:r>
    </w:p>
    <w:p w14:paraId="7FDC0CB3" w14:textId="77777777" w:rsidR="005D07A6" w:rsidRDefault="00F42774">
      <w:pPr>
        <w:pStyle w:val="CTEspDessous"/>
      </w:pPr>
      <w:r>
        <w:t>Ce risque est renforcé lorsque les unités d’œuvre retenues sont volumiques, ce qui est souvent le cas dans les entreprises qui négligent l’analyse sérieuse des charges indirectes. Ce risque est également renforcé lorsque les charges indirectes représentent une part importante de l’ensemble des charges.</w:t>
      </w:r>
    </w:p>
    <w:p w14:paraId="37E02F88" w14:textId="77777777" w:rsidR="005D07A6" w:rsidRDefault="00F42774">
      <w:pPr>
        <w:pStyle w:val="T2"/>
      </w:pPr>
      <w:r>
        <w:t>Chapitre 2.</w:t>
      </w:r>
      <w:r>
        <w:tab/>
        <w:t>La méthode ABC : une nouvelle approche</w:t>
      </w:r>
    </w:p>
    <w:p w14:paraId="2E8C3BAA" w14:textId="77777777" w:rsidR="005D07A6" w:rsidRDefault="00F42774">
      <w:pPr>
        <w:pStyle w:val="debutfilet"/>
      </w:pPr>
      <w:r>
        <w:t>Competences_attendues</w:t>
      </w:r>
    </w:p>
    <w:p w14:paraId="54D9B8A1" w14:textId="77777777" w:rsidR="005D07A6" w:rsidRDefault="00F42774">
      <w:pPr>
        <w:pStyle w:val="ET"/>
      </w:pPr>
      <w:r>
        <w:t xml:space="preserve">Calculer et interpréter des coûts, des marges et des résultats dans un contexte donné. </w:t>
      </w:r>
    </w:p>
    <w:p w14:paraId="3F8CEA74" w14:textId="77777777" w:rsidR="005D07A6" w:rsidRDefault="00F42774">
      <w:pPr>
        <w:pStyle w:val="ET"/>
      </w:pPr>
      <w:r>
        <w:t>Apprécier les intérêts et limites des méthodes de calcul de coûts afin de choisir celle(s) adaptée(s) au contexte de gestion.</w:t>
      </w:r>
    </w:p>
    <w:p w14:paraId="1C0B488C" w14:textId="77777777" w:rsidR="005D07A6" w:rsidRDefault="00F42774">
      <w:pPr>
        <w:pStyle w:val="finfilet"/>
      </w:pPr>
      <w:r>
        <w:t>Fin Competences_attendues</w:t>
      </w:r>
    </w:p>
    <w:p w14:paraId="77EAE59E" w14:textId="77777777" w:rsidR="005D07A6" w:rsidRDefault="00F42774">
      <w:pPr>
        <w:pStyle w:val="CTEspDessous"/>
      </w:pPr>
      <w:r>
        <w:t>Face aux insuffisances des modèles traditionnels et aux nouvelles exigences du contrôle de gestion, un nouveau cadre de référence a été élaboré. Il est issu du programme de recherche CMS (</w:t>
      </w:r>
      <w:r>
        <w:rPr>
          <w:i/>
          <w:iCs/>
        </w:rPr>
        <w:t>Cost Management System</w:t>
      </w:r>
      <w:r>
        <w:t xml:space="preserve">), mené par des consultants et des universitaires américains (Robert </w:t>
      </w:r>
      <w:r>
        <w:rPr>
          <w:b/>
          <w:bCs/>
        </w:rPr>
        <w:t>Kaplan</w:t>
      </w:r>
      <w:r>
        <w:rPr>
          <w:highlight w:val="green"/>
        </w:rPr>
        <w:fldChar w:fldCharType="begin"/>
      </w:r>
      <w:r>
        <w:rPr>
          <w:highlight w:val="green"/>
        </w:rPr>
        <w:instrText xml:space="preserve"> XE "</w:instrText>
      </w:r>
      <w:r>
        <w:rPr>
          <w:noProof/>
          <w:highlight w:val="green"/>
        </w:rPr>
        <w:instrText>Kaplan</w:instrText>
      </w:r>
      <w:r>
        <w:rPr>
          <w:highlight w:val="green"/>
        </w:rPr>
        <w:instrText xml:space="preserve">" </w:instrText>
      </w:r>
      <w:r>
        <w:rPr>
          <w:highlight w:val="green"/>
        </w:rPr>
        <w:fldChar w:fldCharType="end"/>
      </w:r>
      <w:r>
        <w:t xml:space="preserve">, Robin </w:t>
      </w:r>
      <w:r>
        <w:rPr>
          <w:b/>
          <w:bCs/>
        </w:rPr>
        <w:t>Cooper</w:t>
      </w:r>
      <w:r>
        <w:rPr>
          <w:highlight w:val="green"/>
        </w:rPr>
        <w:fldChar w:fldCharType="begin"/>
      </w:r>
      <w:r>
        <w:rPr>
          <w:highlight w:val="green"/>
        </w:rPr>
        <w:instrText xml:space="preserve"> XE "</w:instrText>
      </w:r>
      <w:r>
        <w:rPr>
          <w:noProof/>
          <w:highlight w:val="green"/>
        </w:rPr>
        <w:instrText>Cooper</w:instrText>
      </w:r>
      <w:r>
        <w:rPr>
          <w:highlight w:val="green"/>
        </w:rPr>
        <w:instrText xml:space="preserve">" </w:instrText>
      </w:r>
      <w:r>
        <w:rPr>
          <w:highlight w:val="green"/>
        </w:rPr>
        <w:fldChar w:fldCharType="end"/>
      </w:r>
      <w:r>
        <w:t xml:space="preserve">, Michael </w:t>
      </w:r>
      <w:r>
        <w:rPr>
          <w:b/>
          <w:bCs/>
        </w:rPr>
        <w:t>Porter</w:t>
      </w:r>
      <w:r>
        <w:rPr>
          <w:highlight w:val="green"/>
        </w:rPr>
        <w:fldChar w:fldCharType="begin"/>
      </w:r>
      <w:r>
        <w:rPr>
          <w:highlight w:val="green"/>
        </w:rPr>
        <w:instrText xml:space="preserve"> XE "</w:instrText>
      </w:r>
      <w:r>
        <w:rPr>
          <w:noProof/>
          <w:highlight w:val="green"/>
        </w:rPr>
        <w:instrText>Porter</w:instrText>
      </w:r>
      <w:r>
        <w:rPr>
          <w:highlight w:val="green"/>
        </w:rPr>
        <w:instrText xml:space="preserve">" </w:instrText>
      </w:r>
      <w:r>
        <w:rPr>
          <w:highlight w:val="green"/>
        </w:rPr>
        <w:fldChar w:fldCharType="end"/>
      </w:r>
      <w:r>
        <w:t xml:space="preserve">) et diffusé en France par Pierre </w:t>
      </w:r>
      <w:r>
        <w:rPr>
          <w:b/>
          <w:bCs/>
        </w:rPr>
        <w:t>Mévellec</w:t>
      </w:r>
      <w:r>
        <w:rPr>
          <w:highlight w:val="green"/>
        </w:rPr>
        <w:fldChar w:fldCharType="begin"/>
      </w:r>
      <w:r>
        <w:rPr>
          <w:highlight w:val="green"/>
        </w:rPr>
        <w:instrText xml:space="preserve"> XE "</w:instrText>
      </w:r>
      <w:r>
        <w:rPr>
          <w:noProof/>
          <w:highlight w:val="green"/>
        </w:rPr>
        <w:instrText>Mévellec</w:instrText>
      </w:r>
      <w:r>
        <w:rPr>
          <w:highlight w:val="green"/>
        </w:rPr>
        <w:instrText xml:space="preserve">" </w:instrText>
      </w:r>
      <w:r>
        <w:rPr>
          <w:highlight w:val="green"/>
        </w:rPr>
        <w:fldChar w:fldCharType="end"/>
      </w:r>
      <w:r>
        <w:t xml:space="preserve"> dès 1985. Il s’agit de la méthode des coûts à base d’activités (</w:t>
      </w:r>
      <w:r>
        <w:rPr>
          <w:b/>
          <w:bCs/>
          <w:i/>
          <w:iCs/>
        </w:rPr>
        <w:t>Activity Based Costing</w:t>
      </w:r>
      <w:r>
        <w:t>).</w:t>
      </w:r>
      <w:r>
        <w:rPr>
          <w:highlight w:val="green"/>
        </w:rPr>
        <w:fldChar w:fldCharType="begin"/>
      </w:r>
      <w:r>
        <w:rPr>
          <w:highlight w:val="green"/>
        </w:rPr>
        <w:instrText xml:space="preserve"> XE "</w:instrText>
      </w:r>
      <w:r>
        <w:rPr>
          <w:noProof/>
          <w:highlight w:val="green"/>
        </w:rPr>
        <w:instrText>Activité</w:instrText>
      </w:r>
      <w:r>
        <w:rPr>
          <w:highlight w:val="green"/>
        </w:rPr>
        <w:instrText>:</w:instrText>
      </w:r>
      <w:r>
        <w:rPr>
          <w:noProof/>
          <w:highlight w:val="green"/>
        </w:rPr>
        <w:instrText>– ABC (Activity Based Costing)</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à base d’activités</w:instrText>
      </w:r>
      <w:r>
        <w:rPr>
          <w:highlight w:val="green"/>
        </w:rPr>
        <w:instrText xml:space="preserve">" </w:instrText>
      </w:r>
      <w:r>
        <w:rPr>
          <w:highlight w:val="green"/>
        </w:rPr>
        <w:fldChar w:fldCharType="end"/>
      </w:r>
    </w:p>
    <w:p w14:paraId="0977D889" w14:textId="77777777" w:rsidR="005D07A6" w:rsidRDefault="00F42774">
      <w:pPr>
        <w:pStyle w:val="T3"/>
      </w:pPr>
      <w:r>
        <w:t>section 1.</w:t>
      </w:r>
      <w:r>
        <w:tab/>
        <w:t>Une approche stratégique</w:t>
      </w:r>
    </w:p>
    <w:p w14:paraId="55BAB63E" w14:textId="77777777" w:rsidR="005D07A6" w:rsidRDefault="00F42774">
      <w:pPr>
        <w:pStyle w:val="CT"/>
      </w:pPr>
      <w:r>
        <w:t>Le modèle classique est centré sur la connaissance du coût de production. Or, avec la crise du fordisme, la fonction production a perdu de son poids au profit :</w:t>
      </w:r>
    </w:p>
    <w:p w14:paraId="76EE4462" w14:textId="77777777" w:rsidR="005D07A6" w:rsidRDefault="00F42774">
      <w:pPr>
        <w:pStyle w:val="ET"/>
      </w:pPr>
      <w:r>
        <w:t>des fonctions d’amont (gestion des approvisionnements, sous-traitance, etc.) ;</w:t>
      </w:r>
    </w:p>
    <w:p w14:paraId="2DC257F7" w14:textId="77777777" w:rsidR="005D07A6" w:rsidRDefault="00F42774">
      <w:pPr>
        <w:pStyle w:val="ET"/>
      </w:pPr>
      <w:r>
        <w:t>des fonctions d’aval (marketing, différenciation accrue des produits, etc.) ;</w:t>
      </w:r>
    </w:p>
    <w:p w14:paraId="13B57C05" w14:textId="77777777" w:rsidR="005D07A6" w:rsidRDefault="00F42774">
      <w:pPr>
        <w:pStyle w:val="ET"/>
      </w:pPr>
      <w:r>
        <w:t>des fonctions transversales (recherche et développement, gestion des ressources humaines, logistiques, qualité, etc.).</w:t>
      </w:r>
    </w:p>
    <w:p w14:paraId="346384C3" w14:textId="77777777" w:rsidR="005D07A6" w:rsidRDefault="00F42774">
      <w:pPr>
        <w:pStyle w:val="CTEspDessous"/>
      </w:pPr>
      <w:r>
        <w:t>Dans le modèle fordiste, la stratégie dominante est une stratégie de domination par les coûts. La crise du fordisme a généré l’apparition de nouveaux outils d’analyse stratégique moins axés sur la réduction des coûts, mais sur l’identification de facteurs clés de succès plus diversifiés.</w:t>
      </w:r>
    </w:p>
    <w:p w14:paraId="68E9087A" w14:textId="77777777" w:rsidR="005D07A6" w:rsidRDefault="00F42774">
      <w:pPr>
        <w:pStyle w:val="CTEspDessous"/>
      </w:pPr>
      <w:r>
        <w:t xml:space="preserve">Il en est ainsi de la </w:t>
      </w:r>
      <w:r>
        <w:rPr>
          <w:b/>
          <w:bCs/>
        </w:rPr>
        <w:t>chaîne de valeur</w:t>
      </w:r>
      <w:r>
        <w:rPr>
          <w:highlight w:val="green"/>
        </w:rPr>
        <w:fldChar w:fldCharType="begin"/>
      </w:r>
      <w:r>
        <w:rPr>
          <w:highlight w:val="green"/>
        </w:rPr>
        <w:instrText xml:space="preserve"> XE "</w:instrText>
      </w:r>
      <w:r>
        <w:rPr>
          <w:noProof/>
          <w:highlight w:val="green"/>
        </w:rPr>
        <w:instrText>Chaîne de valeur</w:instrText>
      </w:r>
      <w:r>
        <w:rPr>
          <w:highlight w:val="green"/>
        </w:rPr>
        <w:instrText xml:space="preserve">" </w:instrText>
      </w:r>
      <w:r>
        <w:rPr>
          <w:highlight w:val="green"/>
        </w:rPr>
        <w:fldChar w:fldCharType="end"/>
      </w:r>
      <w:r>
        <w:t xml:space="preserve"> de Michael </w:t>
      </w:r>
      <w:r>
        <w:rPr>
          <w:b/>
          <w:bCs/>
        </w:rPr>
        <w:t>Porter</w:t>
      </w:r>
      <w:r>
        <w:t xml:space="preserve">. Cette représentation de l’entreprise est un outil d’analyse stratégique de l’organisation qui donne une vision transversale des organisations. Elle se fonde sur le découpage de l’entreprise en activités, dans l’objectif </w:t>
      </w:r>
      <w:r>
        <w:rPr>
          <w:b/>
          <w:bCs/>
        </w:rPr>
        <w:t>d’identifier parmi elles celles qui sont stratégiques pour l’entreprise, c’est-à-dire génératrices de valeur pour le client</w:t>
      </w:r>
      <w:r>
        <w:t xml:space="preserve">. Ce sont ces </w:t>
      </w:r>
      <w:r>
        <w:rPr>
          <w:b/>
          <w:bCs/>
        </w:rPr>
        <w:t>activités</w:t>
      </w:r>
      <w:r>
        <w:t xml:space="preserve"> </w:t>
      </w:r>
      <w:r>
        <w:rPr>
          <w:b/>
          <w:bCs/>
        </w:rPr>
        <w:t>stratégiques</w:t>
      </w:r>
      <w:r>
        <w:t xml:space="preserve"> </w:t>
      </w:r>
      <w:r>
        <w:rPr>
          <w:highlight w:val="green"/>
        </w:rPr>
        <w:fldChar w:fldCharType="begin"/>
      </w:r>
      <w:r>
        <w:rPr>
          <w:highlight w:val="green"/>
        </w:rPr>
        <w:instrText xml:space="preserve"> XE "</w:instrText>
      </w:r>
      <w:r>
        <w:rPr>
          <w:noProof/>
          <w:highlight w:val="green"/>
        </w:rPr>
        <w:instrText>Activité</w:instrText>
      </w:r>
      <w:r>
        <w:rPr>
          <w:highlight w:val="green"/>
        </w:rPr>
        <w:instrText>:</w:instrText>
      </w:r>
      <w:r>
        <w:rPr>
          <w:noProof/>
          <w:highlight w:val="green"/>
        </w:rPr>
        <w:instrText>– stratégique</w:instrText>
      </w:r>
      <w:r>
        <w:rPr>
          <w:highlight w:val="green"/>
        </w:rPr>
        <w:instrText xml:space="preserve">" </w:instrText>
      </w:r>
      <w:r>
        <w:rPr>
          <w:highlight w:val="green"/>
        </w:rPr>
        <w:fldChar w:fldCharType="end"/>
      </w:r>
      <w:r>
        <w:t xml:space="preserve">qui procurent un </w:t>
      </w:r>
      <w:r>
        <w:rPr>
          <w:b/>
          <w:bCs/>
        </w:rPr>
        <w:t>avantage concurrentiel</w:t>
      </w:r>
      <w:r>
        <w:rPr>
          <w:highlight w:val="green"/>
        </w:rPr>
        <w:fldChar w:fldCharType="begin"/>
      </w:r>
      <w:r>
        <w:rPr>
          <w:highlight w:val="green"/>
        </w:rPr>
        <w:instrText xml:space="preserve"> XE "</w:instrText>
      </w:r>
      <w:r>
        <w:rPr>
          <w:noProof/>
          <w:highlight w:val="green"/>
        </w:rPr>
        <w:instrText>Avantage concurrentiel</w:instrText>
      </w:r>
      <w:r>
        <w:rPr>
          <w:highlight w:val="green"/>
        </w:rPr>
        <w:instrText xml:space="preserve">" </w:instrText>
      </w:r>
      <w:r>
        <w:rPr>
          <w:highlight w:val="green"/>
        </w:rPr>
        <w:fldChar w:fldCharType="end"/>
      </w:r>
      <w:r>
        <w:t xml:space="preserve"> et qu’il faut privilégier.</w:t>
      </w:r>
    </w:p>
    <w:p w14:paraId="4EF70FC7" w14:textId="77777777" w:rsidR="005D07A6" w:rsidRDefault="00F42774">
      <w:pPr>
        <w:pStyle w:val="CT"/>
      </w:pPr>
      <w:r>
        <w:t>Ce découpage se distingue du découpage opérationnel traditionnel : approvisionnement – production – distribution. Il est propre à chaque entreprise, et peut évoluer dans le temps, ou en fonction des intentions de la direction.</w:t>
      </w:r>
    </w:p>
    <w:p w14:paraId="77252EDD" w14:textId="77777777" w:rsidR="005D07A6" w:rsidRDefault="00F42774">
      <w:pPr>
        <w:pStyle w:val="CT"/>
        <w:jc w:val="center"/>
      </w:pPr>
      <w:r>
        <w:rPr>
          <w:noProof/>
        </w:rPr>
        <w:lastRenderedPageBreak/>
        <w:drawing>
          <wp:inline distT="0" distB="0" distL="0" distR="0" wp14:anchorId="1EEE4868" wp14:editId="365C6FE9">
            <wp:extent cx="4548010" cy="2085013"/>
            <wp:effectExtent l="0" t="0" r="5080" b="0"/>
            <wp:docPr id="23" name="Image 23" descr="Pas de visualisation pour [UE202526_433_S1_fichiers/201211TIAA0200b.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as de visualisation pour [UE202526_433_S1_fichiers/201211TIAA0200b.png] !"/>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548010" cy="2085013"/>
                    </a:xfrm>
                    <a:prstGeom prst="rect">
                      <a:avLst/>
                    </a:prstGeom>
                    <a:noFill/>
                    <a:ln>
                      <a:noFill/>
                    </a:ln>
                  </pic:spPr>
                </pic:pic>
              </a:graphicData>
            </a:graphic>
          </wp:inline>
        </w:drawing>
      </w:r>
      <w:r>
        <w:t>&lt;image&gt;201211TIAA0200b.png&lt;/image&gt;</w:t>
      </w:r>
    </w:p>
    <w:p w14:paraId="6883D1DD" w14:textId="77777777" w:rsidR="005D07A6" w:rsidRDefault="00F42774">
      <w:pPr>
        <w:pStyle w:val="CTEspDessous"/>
      </w:pPr>
      <w:r>
        <w:t>Pour le stratège, l’intérêt de la chaîne de valeur</w:t>
      </w:r>
      <w:r>
        <w:rPr>
          <w:highlight w:val="green"/>
        </w:rPr>
        <w:fldChar w:fldCharType="begin"/>
      </w:r>
      <w:r>
        <w:rPr>
          <w:highlight w:val="green"/>
        </w:rPr>
        <w:instrText xml:space="preserve"> XE "</w:instrText>
      </w:r>
      <w:r>
        <w:rPr>
          <w:noProof/>
          <w:highlight w:val="green"/>
        </w:rPr>
        <w:instrText>Chaîne de valeur</w:instrText>
      </w:r>
      <w:r>
        <w:rPr>
          <w:highlight w:val="green"/>
        </w:rPr>
        <w:instrText xml:space="preserve">" </w:instrText>
      </w:r>
      <w:r>
        <w:rPr>
          <w:highlight w:val="green"/>
        </w:rPr>
        <w:fldChar w:fldCharType="end"/>
      </w:r>
      <w:r>
        <w:t xml:space="preserve"> est de mettre en évidence l’importance pour l’entreprise des activités de soutien, transversales à l’activité (qui ne correspondent pas au découpage « séquentiel » opérationnel des activités principales). Une analyse comptable de ces activités permet de constater qu’elles représentent essentiellement des charges indirectes. Il en découle donc que, lorsque le stratège cherche à mieux comprendre la part de ces activités de soutien dans le processus de création de valeur, il rejoint le souci du comptable qui cherche à décomposer et à analyser les charges indirectes.</w:t>
      </w:r>
    </w:p>
    <w:p w14:paraId="2416F59C" w14:textId="77777777" w:rsidR="005D07A6" w:rsidRDefault="00F42774">
      <w:pPr>
        <w:pStyle w:val="CTEspDessous"/>
      </w:pPr>
      <w:r>
        <w:t xml:space="preserve">La </w:t>
      </w:r>
      <w:r>
        <w:rPr>
          <w:b/>
          <w:bCs/>
        </w:rPr>
        <w:t>méthode ABC</w:t>
      </w:r>
      <w:r>
        <w:rPr>
          <w:b/>
          <w:bCs/>
          <w:highlight w:val="green"/>
        </w:rPr>
        <w:fldChar w:fldCharType="begin"/>
      </w:r>
      <w:r>
        <w:rPr>
          <w:b/>
          <w:bCs/>
          <w:highlight w:val="green"/>
        </w:rPr>
        <w:instrText xml:space="preserve"> XE "</w:instrText>
      </w:r>
      <w:r>
        <w:rPr>
          <w:b/>
          <w:bCs/>
          <w:noProof/>
          <w:highlight w:val="green"/>
        </w:rPr>
        <w:instrText>Méthode</w:instrText>
      </w:r>
      <w:r>
        <w:rPr>
          <w:b/>
          <w:bCs/>
          <w:highlight w:val="green"/>
        </w:rPr>
        <w:instrText>:</w:instrText>
      </w:r>
      <w:r>
        <w:rPr>
          <w:b/>
          <w:bCs/>
          <w:noProof/>
          <w:highlight w:val="green"/>
        </w:rPr>
        <w:instrText>– ABC</w:instrText>
      </w:r>
      <w:r>
        <w:rPr>
          <w:b/>
          <w:bCs/>
          <w:highlight w:val="green"/>
        </w:rPr>
        <w:instrText xml:space="preserve">" </w:instrText>
      </w:r>
      <w:r>
        <w:rPr>
          <w:b/>
          <w:bCs/>
          <w:highlight w:val="green"/>
        </w:rPr>
        <w:fldChar w:fldCharType="end"/>
      </w:r>
      <w:r>
        <w:t xml:space="preserve"> est donc une méthode de calcul du coût complet </w:t>
      </w:r>
      <w:r>
        <w:rPr>
          <w:b/>
          <w:bCs/>
        </w:rPr>
        <w:t>qui s’inspire du découpage stratégique</w:t>
      </w:r>
      <w:r>
        <w:t xml:space="preserve"> de l’entreprise en activités et qui </w:t>
      </w:r>
      <w:r>
        <w:rPr>
          <w:b/>
          <w:bCs/>
        </w:rPr>
        <w:t>cherche à faire coïncider la répartition des charges indirectes</w:t>
      </w:r>
      <w:r>
        <w:t xml:space="preserve"> avec ce découpage. Les charges indirectes ne sont plus perçues comme un ensemble de charges qu’il « faut » répartir pour effectuer des calculs (et que l’on va donc répartir au plus simple), mais comme un élément de compréhension du processus de création de valeur de l’entreprise.</w:t>
      </w:r>
    </w:p>
    <w:p w14:paraId="1FD931D9" w14:textId="77777777" w:rsidR="005D07A6" w:rsidRDefault="00F42774">
      <w:pPr>
        <w:pStyle w:val="debutfilet"/>
      </w:pPr>
      <w:r>
        <w:t>Remarque</w:t>
      </w:r>
    </w:p>
    <w:p w14:paraId="6A5A12F1" w14:textId="77777777" w:rsidR="005D07A6" w:rsidRDefault="00F42774">
      <w:pPr>
        <w:pStyle w:val="LibelleRubrique"/>
      </w:pPr>
      <w:r>
        <w:t>Remarque</w:t>
      </w:r>
    </w:p>
    <w:p w14:paraId="1C95A1D6" w14:textId="77777777" w:rsidR="005D07A6" w:rsidRDefault="00F42774">
      <w:pPr>
        <w:pStyle w:val="CT"/>
      </w:pPr>
      <w:r>
        <w:rPr>
          <w:b/>
          <w:bCs/>
        </w:rPr>
        <w:t xml:space="preserve">Méthode classique </w:t>
      </w:r>
      <w:r>
        <w:rPr>
          <w:b/>
          <w:bCs/>
          <w:i/>
          <w:iCs/>
        </w:rPr>
        <w:t>versus</w:t>
      </w:r>
      <w:r>
        <w:rPr>
          <w:b/>
          <w:bCs/>
        </w:rPr>
        <w:t xml:space="preserve"> méthode ABC :</w:t>
      </w:r>
      <w:r>
        <w:t xml:space="preserve"> la comparaison entre méthode traditionnelle (des centres d’analyse) et méthode ABC a généré de nombreux discours, qui sont parfois ambigus ou exagérés. Techniquement, l’ABC conduit généralement à proposer un « autre » découpage des charges indirectes que celui proposé traditionnellement (et conduit donc à calculer des coûts de revient différents). Mais d’un point de vue calculatoire, la démarche (répartition des charges indirectes en activités/centres, puis imputation de ces charges sur les produits) est similaire. C’est avant tout l’analyse de ces charges qui diffère, et le vocabulaire qui lui est associé.</w:t>
      </w:r>
    </w:p>
    <w:p w14:paraId="336E5301" w14:textId="77777777" w:rsidR="005D07A6" w:rsidRDefault="00F42774">
      <w:pPr>
        <w:pStyle w:val="finfilet"/>
      </w:pPr>
      <w:r>
        <w:t>Fin Remarque</w:t>
      </w:r>
    </w:p>
    <w:p w14:paraId="2A73130C" w14:textId="77777777" w:rsidR="005D07A6" w:rsidRDefault="00F42774">
      <w:pPr>
        <w:pStyle w:val="CTEspDessous"/>
      </w:pPr>
      <w:r>
        <w:t xml:space="preserve">La méthode des centres d’analyse a été élaborée par Émile Rimailho, ancien ingénieur militaire, et avait vocation à être appliquée par toutes les entreprises françaises. Elle se caractérise donc par </w:t>
      </w:r>
      <w:r>
        <w:rPr>
          <w:b/>
          <w:bCs/>
        </w:rPr>
        <w:t>un caractère très pragmatique et mathématique</w:t>
      </w:r>
      <w:r>
        <w:t xml:space="preserve">. Le vocabulaire y est précis et fonctionnel. On parle de répartition des charges indirectes en centres, de coefficient de corrélation, d’homogénéité, d’imputation, d’unité d’œuvre, etc. La méthode ABC, quant à elle, s’inspire de travaux académiques, et n’est pas normalisée. Elle se caractérise donc par un vocabulaire </w:t>
      </w:r>
      <w:r>
        <w:rPr>
          <w:b/>
          <w:bCs/>
        </w:rPr>
        <w:t>issu de la stratégie</w:t>
      </w:r>
      <w:r>
        <w:t xml:space="preserve"> (activités, processus, inducteur de coût, consommation de ressources, etc.) et une </w:t>
      </w:r>
      <w:r>
        <w:rPr>
          <w:b/>
          <w:bCs/>
        </w:rPr>
        <w:t>grande adaptabilité</w:t>
      </w:r>
      <w:r>
        <w:t xml:space="preserve">. La contrepartie de ces qualités est qu’il plane </w:t>
      </w:r>
      <w:r>
        <w:rPr>
          <w:b/>
          <w:bCs/>
        </w:rPr>
        <w:t>un certain flou au niveau de son application</w:t>
      </w:r>
      <w:r>
        <w:t xml:space="preserve"> et des </w:t>
      </w:r>
      <w:r>
        <w:rPr>
          <w:b/>
          <w:bCs/>
        </w:rPr>
        <w:t>désaccords sur la définition des termes</w:t>
      </w:r>
      <w:r>
        <w:t xml:space="preserve"> utilisés. Deux entreprises peuvent annoncer mettre en œuvre une méthode ABC de calcul des coûts sans pour autant faire la même chose.</w:t>
      </w:r>
    </w:p>
    <w:p w14:paraId="1BAE8A5B" w14:textId="77777777" w:rsidR="005D07A6" w:rsidRDefault="00F42774">
      <w:pPr>
        <w:pStyle w:val="T3"/>
      </w:pPr>
      <w:r>
        <w:lastRenderedPageBreak/>
        <w:t>section 2.</w:t>
      </w:r>
      <w:r>
        <w:tab/>
        <w:t>Du produit à l’activité</w:t>
      </w:r>
    </w:p>
    <w:p w14:paraId="11FE741E" w14:textId="77777777" w:rsidR="005D07A6" w:rsidRDefault="00F42774">
      <w:pPr>
        <w:pStyle w:val="CTEspDessous"/>
      </w:pPr>
      <w:r>
        <w:t xml:space="preserve">Du fait du raccourcissement de leur cycle de vie, les produits sont trop éphémères et trop variés pour pouvoir continuer à servir de base aux systèmes de calcul des coûts. Les organisations doivent trouver une notion plus stable que le produit. C’est la notion de </w:t>
      </w:r>
      <w:r>
        <w:rPr>
          <w:b/>
          <w:bCs/>
        </w:rPr>
        <w:t>compétence</w:t>
      </w:r>
      <w:r>
        <w:rPr>
          <w:highlight w:val="green"/>
        </w:rPr>
        <w:fldChar w:fldCharType="begin"/>
      </w:r>
      <w:r>
        <w:rPr>
          <w:highlight w:val="green"/>
        </w:rPr>
        <w:instrText xml:space="preserve"> XE "</w:instrText>
      </w:r>
      <w:r>
        <w:rPr>
          <w:noProof/>
          <w:highlight w:val="green"/>
        </w:rPr>
        <w:instrText>Compétence</w:instrText>
      </w:r>
      <w:r>
        <w:rPr>
          <w:highlight w:val="green"/>
        </w:rPr>
        <w:instrText xml:space="preserve">" </w:instrText>
      </w:r>
      <w:r>
        <w:rPr>
          <w:highlight w:val="green"/>
        </w:rPr>
        <w:fldChar w:fldCharType="end"/>
      </w:r>
      <w:r>
        <w:t>, de savoir-faire.</w:t>
      </w:r>
    </w:p>
    <w:p w14:paraId="69B95912" w14:textId="77777777" w:rsidR="005D07A6" w:rsidRDefault="00F42774">
      <w:pPr>
        <w:pStyle w:val="CTEspDessous"/>
      </w:pPr>
      <w:r>
        <w:t>Une compétence s’exprime par des actions constitutives d’activités et, s’il est délicat d’évaluer directement les compétences, il est possible de mesurer les consommations et les productions caractéristiques des activités correspondantes.</w:t>
      </w:r>
    </w:p>
    <w:p w14:paraId="069AEDE5" w14:textId="77777777" w:rsidR="005D07A6" w:rsidRDefault="00F42774">
      <w:pPr>
        <w:pStyle w:val="debutfilet"/>
      </w:pPr>
      <w:r>
        <w:t>Definition</w:t>
      </w:r>
    </w:p>
    <w:p w14:paraId="00A52251" w14:textId="77777777" w:rsidR="005D07A6" w:rsidRDefault="00F42774">
      <w:pPr>
        <w:pStyle w:val="LibelleRubrique"/>
      </w:pPr>
      <w:r>
        <w:t>Définition</w:t>
      </w:r>
    </w:p>
    <w:p w14:paraId="5A2232C6" w14:textId="77777777" w:rsidR="005D07A6" w:rsidRDefault="00F42774">
      <w:pPr>
        <w:pStyle w:val="CT"/>
      </w:pPr>
      <w:r>
        <w:t xml:space="preserve">Une </w:t>
      </w:r>
      <w:r>
        <w:rPr>
          <w:b/>
          <w:bCs/>
          <w:i/>
          <w:iCs/>
          <w:color w:val="FF0000"/>
        </w:rPr>
        <w:t>activité</w:t>
      </w:r>
      <w:r>
        <w:rPr>
          <w:highlight w:val="green"/>
        </w:rPr>
        <w:fldChar w:fldCharType="begin"/>
      </w:r>
      <w:r>
        <w:rPr>
          <w:highlight w:val="green"/>
        </w:rPr>
        <w:instrText xml:space="preserve"> XE "</w:instrText>
      </w:r>
      <w:r>
        <w:rPr>
          <w:noProof/>
          <w:highlight w:val="green"/>
        </w:rPr>
        <w:instrText>Activité</w:instrText>
      </w:r>
      <w:r>
        <w:rPr>
          <w:highlight w:val="green"/>
        </w:rPr>
        <w:instrText xml:space="preserve">" </w:instrText>
      </w:r>
      <w:r>
        <w:rPr>
          <w:highlight w:val="green"/>
        </w:rPr>
        <w:fldChar w:fldCharType="end"/>
      </w:r>
      <w:r>
        <w:t xml:space="preserve"> peut se définir comme un ensemble de </w:t>
      </w:r>
      <w:r>
        <w:rPr>
          <w:b/>
          <w:bCs/>
        </w:rPr>
        <w:t>tâches</w:t>
      </w:r>
      <w:r>
        <w:rPr>
          <w:highlight w:val="green"/>
        </w:rPr>
        <w:fldChar w:fldCharType="begin"/>
      </w:r>
      <w:r>
        <w:rPr>
          <w:highlight w:val="green"/>
        </w:rPr>
        <w:instrText xml:space="preserve"> XE "</w:instrText>
      </w:r>
      <w:r>
        <w:rPr>
          <w:noProof/>
          <w:highlight w:val="green"/>
        </w:rPr>
        <w:instrText>Tâche</w:instrText>
      </w:r>
      <w:r>
        <w:rPr>
          <w:highlight w:val="green"/>
        </w:rPr>
        <w:instrText xml:space="preserve">" </w:instrText>
      </w:r>
      <w:r>
        <w:rPr>
          <w:highlight w:val="green"/>
        </w:rPr>
        <w:fldChar w:fldCharType="end"/>
      </w:r>
      <w:r>
        <w:t xml:space="preserve"> coordonnées au sein d’un processus</w:t>
      </w:r>
      <w:r>
        <w:rPr>
          <w:highlight w:val="green"/>
        </w:rPr>
        <w:fldChar w:fldCharType="begin"/>
      </w:r>
      <w:r>
        <w:rPr>
          <w:highlight w:val="green"/>
        </w:rPr>
        <w:instrText xml:space="preserve"> XE "</w:instrText>
      </w:r>
      <w:r>
        <w:rPr>
          <w:noProof/>
          <w:highlight w:val="green"/>
        </w:rPr>
        <w:instrText>Processus</w:instrText>
      </w:r>
      <w:r>
        <w:rPr>
          <w:highlight w:val="green"/>
        </w:rPr>
        <w:instrText xml:space="preserve">" </w:instrText>
      </w:r>
      <w:r>
        <w:rPr>
          <w:highlight w:val="green"/>
        </w:rPr>
        <w:fldChar w:fldCharType="end"/>
      </w:r>
      <w:r>
        <w:t xml:space="preserve"> consommateur de ressources en vue de délivrer une production.</w:t>
      </w:r>
    </w:p>
    <w:p w14:paraId="6D02BC5B" w14:textId="77777777" w:rsidR="005D07A6" w:rsidRDefault="00F42774">
      <w:pPr>
        <w:pStyle w:val="finfilet"/>
      </w:pPr>
      <w:r>
        <w:t>Fin Definition</w:t>
      </w:r>
    </w:p>
    <w:p w14:paraId="1D00DFFA" w14:textId="77777777" w:rsidR="005D07A6" w:rsidRDefault="00F42774">
      <w:pPr>
        <w:pStyle w:val="CTEspDessous"/>
      </w:pPr>
      <w:r>
        <w:t xml:space="preserve">Alors que le modèle des centres d’analyse propose une vision très calculatoire dans laquelle les charges indirectes sont réparties puis imputées aux produits, la méthode ABC décrit les organisations comme un ensemble d’activités et part du principe que les </w:t>
      </w:r>
      <w:r>
        <w:rPr>
          <w:b/>
          <w:bCs/>
        </w:rPr>
        <w:t>activités consomment des ressources</w:t>
      </w:r>
      <w:r>
        <w:t xml:space="preserve"> </w:t>
      </w:r>
      <w:r>
        <w:rPr>
          <w:b/>
          <w:bCs/>
        </w:rPr>
        <w:t>et que les produits consomment des activités</w:t>
      </w:r>
      <w:r>
        <w:t>.</w:t>
      </w:r>
    </w:p>
    <w:p w14:paraId="459D4978" w14:textId="77777777" w:rsidR="005D07A6" w:rsidRDefault="00F42774">
      <w:pPr>
        <w:pStyle w:val="TT"/>
      </w:pPr>
      <w:r>
        <w:t>Vocabulaire ABC</w:t>
      </w:r>
    </w:p>
    <w:p w14:paraId="3E185DA8" w14:textId="77777777" w:rsidR="005D07A6" w:rsidRDefault="00F42774">
      <w:pPr>
        <w:pStyle w:val="CT"/>
        <w:jc w:val="center"/>
      </w:pPr>
      <w:r>
        <w:rPr>
          <w:noProof/>
        </w:rPr>
        <w:drawing>
          <wp:inline distT="0" distB="0" distL="0" distR="0" wp14:anchorId="133E04FB" wp14:editId="4D51C1A9">
            <wp:extent cx="4730906" cy="256054"/>
            <wp:effectExtent l="0" t="0" r="0" b="0"/>
            <wp:docPr id="24" name="Image 24" descr="Pas de visualisation pour [UE202526_433_S1_fichiers/201211TIAA0200c.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as de visualisation pour [UE202526_433_S1_fichiers/201211TIAA0200c.png] !"/>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730906" cy="256054"/>
                    </a:xfrm>
                    <a:prstGeom prst="rect">
                      <a:avLst/>
                    </a:prstGeom>
                    <a:noFill/>
                    <a:ln>
                      <a:noFill/>
                    </a:ln>
                  </pic:spPr>
                </pic:pic>
              </a:graphicData>
            </a:graphic>
          </wp:inline>
        </w:drawing>
      </w:r>
      <w:r>
        <w:t>&lt;image&gt;201211TIAA0200c.png&lt;/image&gt;</w:t>
      </w:r>
    </w:p>
    <w:p w14:paraId="47CDC06F" w14:textId="77777777" w:rsidR="005D07A6" w:rsidRDefault="00F42774">
      <w:pPr>
        <w:pStyle w:val="TT"/>
      </w:pPr>
      <w:r>
        <w:t>Vocabulaire « centres d’analyse »</w:t>
      </w:r>
    </w:p>
    <w:p w14:paraId="3B5C4A53" w14:textId="77777777" w:rsidR="005D07A6" w:rsidRDefault="00F42774">
      <w:pPr>
        <w:pStyle w:val="CT"/>
        <w:jc w:val="center"/>
      </w:pPr>
      <w:r>
        <w:rPr>
          <w:noProof/>
        </w:rPr>
        <w:drawing>
          <wp:inline distT="0" distB="0" distL="0" distR="0" wp14:anchorId="547F5E3D" wp14:editId="354F2EF1">
            <wp:extent cx="4096867" cy="256054"/>
            <wp:effectExtent l="0" t="0" r="0" b="0"/>
            <wp:docPr id="25" name="Image 25" descr="Pas de visualisation pour [UE202526_433_S1_fichiers/201211TIAA0200d.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as de visualisation pour [UE202526_433_S1_fichiers/201211TIAA0200d.png] !"/>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096867" cy="256054"/>
                    </a:xfrm>
                    <a:prstGeom prst="rect">
                      <a:avLst/>
                    </a:prstGeom>
                    <a:noFill/>
                    <a:ln>
                      <a:noFill/>
                    </a:ln>
                  </pic:spPr>
                </pic:pic>
              </a:graphicData>
            </a:graphic>
          </wp:inline>
        </w:drawing>
      </w:r>
      <w:r>
        <w:t>&lt;image&gt;201211TIAA0200d.png&lt;/image&gt;</w:t>
      </w:r>
    </w:p>
    <w:p w14:paraId="5E9C307C" w14:textId="77777777" w:rsidR="005D07A6" w:rsidRDefault="00F42774">
      <w:pPr>
        <w:pStyle w:val="CTEspDessous"/>
      </w:pPr>
      <w:r>
        <w:t>L’approche ABC étant née dans un contexte académique et juridique (aux États-Unis) totalement indépendant de celui qui a présidé à la création de la méthode des centres d’analyse, le vocabulaire qu’il utilise est totalement différent. Cela ne signifie pas qu’il n’y ait pas, dans la pratique calculatoire, une similitude très forte entre la notion de centre d’analyse (ou de section) et celle d’activité. Dans la plupart des exercices, on appelle activité un découpage des charges indirectes différent de celui fait par les centres d’analyse.</w:t>
      </w:r>
    </w:p>
    <w:p w14:paraId="28FCF930" w14:textId="77777777" w:rsidR="005D07A6" w:rsidRDefault="00F42774">
      <w:pPr>
        <w:pStyle w:val="debutfilet"/>
      </w:pPr>
      <w:r>
        <w:t>Remarque</w:t>
      </w:r>
    </w:p>
    <w:p w14:paraId="0BF06EBF" w14:textId="77777777" w:rsidR="005D07A6" w:rsidRDefault="00F42774">
      <w:pPr>
        <w:pStyle w:val="LibelleRubrique"/>
      </w:pPr>
      <w:r>
        <w:t>Remarque</w:t>
      </w:r>
    </w:p>
    <w:p w14:paraId="21D553BB" w14:textId="77777777" w:rsidR="005D07A6" w:rsidRDefault="00F42774">
      <w:pPr>
        <w:pStyle w:val="CT"/>
      </w:pPr>
      <w:r>
        <w:t>On constate que la notion d’activité demeure très vague et la définition d’une activité varie d’un auteur à l’autre, d’une entreprise à l’autre. Ce qu’il faut retenir en pratique, c’est qu’une activité est un regroupement de charges homogènes, comme peuvent l’être les centres d’analyse dans la méthode traditionnelle des centres d’analyse issue du plan comptable français.</w:t>
      </w:r>
    </w:p>
    <w:p w14:paraId="0FF9E535" w14:textId="77777777" w:rsidR="005D07A6" w:rsidRDefault="00F42774">
      <w:pPr>
        <w:pStyle w:val="finfilet"/>
      </w:pPr>
      <w:r>
        <w:t>Fin Remarque</w:t>
      </w:r>
    </w:p>
    <w:p w14:paraId="00DAE58B" w14:textId="77777777" w:rsidR="005D07A6" w:rsidRDefault="00F42774">
      <w:pPr>
        <w:pStyle w:val="T3"/>
      </w:pPr>
      <w:r>
        <w:t>section 3.</w:t>
      </w:r>
      <w:r>
        <w:tab/>
        <w:t>Le management à base d’activités ou ABM (</w:t>
      </w:r>
      <w:r>
        <w:rPr>
          <w:i/>
          <w:iCs/>
        </w:rPr>
        <w:t>Activity Based Management</w:t>
      </w:r>
      <w:r>
        <w:t>)</w:t>
      </w:r>
    </w:p>
    <w:p w14:paraId="68A4BD51" w14:textId="77777777" w:rsidR="005D07A6" w:rsidRDefault="00F42774">
      <w:pPr>
        <w:pStyle w:val="CTEspDessous"/>
      </w:pPr>
      <w:r>
        <w:t>Puisque les activités consomment les ressources, la maîtrise des ressources consommées est liée à la maîtrise des activités. Le management à base d’activités, ou ABM, est une phase additionnelle à la méthode ABC.</w:t>
      </w:r>
    </w:p>
    <w:p w14:paraId="12FFB2A2" w14:textId="77777777" w:rsidR="005D07A6" w:rsidRDefault="00F42774">
      <w:pPr>
        <w:pStyle w:val="debutfilet"/>
      </w:pPr>
      <w:r>
        <w:lastRenderedPageBreak/>
        <w:t>Definition</w:t>
      </w:r>
    </w:p>
    <w:p w14:paraId="7674A67F" w14:textId="77777777" w:rsidR="005D07A6" w:rsidRDefault="00F42774">
      <w:pPr>
        <w:pStyle w:val="LibelleRubrique"/>
      </w:pPr>
      <w:r>
        <w:t>Définition</w:t>
      </w:r>
    </w:p>
    <w:p w14:paraId="7424586F" w14:textId="77777777" w:rsidR="005D07A6" w:rsidRDefault="00F42774">
      <w:pPr>
        <w:pStyle w:val="CT"/>
      </w:pPr>
      <w:r>
        <w:t xml:space="preserve">Le </w:t>
      </w:r>
      <w:r>
        <w:rPr>
          <w:b/>
          <w:bCs/>
          <w:i/>
          <w:iCs/>
          <w:color w:val="FF0000"/>
        </w:rPr>
        <w:t>management à base d’activités</w:t>
      </w:r>
      <w:r>
        <w:t xml:space="preserve"> ou ABM</w:t>
      </w:r>
      <w:r>
        <w:rPr>
          <w:highlight w:val="green"/>
        </w:rPr>
        <w:fldChar w:fldCharType="begin"/>
      </w:r>
      <w:r>
        <w:rPr>
          <w:highlight w:val="green"/>
        </w:rPr>
        <w:instrText xml:space="preserve"> XE "</w:instrText>
      </w:r>
      <w:r>
        <w:rPr>
          <w:noProof/>
          <w:highlight w:val="green"/>
        </w:rPr>
        <w:instrText>Management</w:instrText>
      </w:r>
      <w:r>
        <w:rPr>
          <w:highlight w:val="green"/>
        </w:rPr>
        <w:instrText>:</w:instrText>
      </w:r>
      <w:r>
        <w:rPr>
          <w:noProof/>
          <w:highlight w:val="green"/>
        </w:rPr>
        <w:instrText>– à base d’activités (ABM)</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Activité</w:instrText>
      </w:r>
      <w:r>
        <w:rPr>
          <w:highlight w:val="green"/>
        </w:rPr>
        <w:instrText>:</w:instrText>
      </w:r>
      <w:r>
        <w:rPr>
          <w:noProof/>
          <w:highlight w:val="green"/>
        </w:rPr>
        <w:instrText>– ABM (Activity Based Management)</w:instrText>
      </w:r>
      <w:r>
        <w:rPr>
          <w:highlight w:val="green"/>
        </w:rPr>
        <w:instrText xml:space="preserve">" </w:instrText>
      </w:r>
      <w:r>
        <w:rPr>
          <w:highlight w:val="green"/>
        </w:rPr>
        <w:fldChar w:fldCharType="end"/>
      </w:r>
      <w:r>
        <w:t xml:space="preserve"> analyse comment les activités d’un processus contribuent à la création de valeur et cherche à optimiser le </w:t>
      </w:r>
      <w:r>
        <w:rPr>
          <w:b/>
          <w:bCs/>
        </w:rPr>
        <w:t>rapport « valeur-coût »</w:t>
      </w:r>
      <w:r>
        <w:t xml:space="preserve"> </w:t>
      </w:r>
      <w:r>
        <w:rPr>
          <w:highlight w:val="green"/>
        </w:rPr>
        <w:fldChar w:fldCharType="begin"/>
      </w:r>
      <w:r>
        <w:rPr>
          <w:highlight w:val="green"/>
        </w:rPr>
        <w:instrText xml:space="preserve"> XE "</w:instrText>
      </w:r>
      <w:r>
        <w:rPr>
          <w:noProof/>
          <w:highlight w:val="green"/>
        </w:rPr>
        <w:instrText>Rapport valeur-coût</w:instrText>
      </w:r>
      <w:r>
        <w:rPr>
          <w:highlight w:val="green"/>
        </w:rPr>
        <w:instrText xml:space="preserve">" </w:instrText>
      </w:r>
      <w:r>
        <w:rPr>
          <w:highlight w:val="green"/>
        </w:rPr>
        <w:fldChar w:fldCharType="end"/>
      </w:r>
      <w:r>
        <w:t xml:space="preserve"> dans une vision transversale de l’organisation.</w:t>
      </w:r>
    </w:p>
    <w:p w14:paraId="316195BB" w14:textId="77777777" w:rsidR="005D07A6" w:rsidRDefault="00F42774">
      <w:pPr>
        <w:pStyle w:val="finfilet"/>
      </w:pPr>
      <w:r>
        <w:t>Fin Definition</w:t>
      </w:r>
    </w:p>
    <w:p w14:paraId="07BA0712" w14:textId="77777777" w:rsidR="005D07A6" w:rsidRDefault="00F42774">
      <w:pPr>
        <w:pStyle w:val="CTEspDessous"/>
      </w:pPr>
      <w:r>
        <w:t xml:space="preserve">La </w:t>
      </w:r>
      <w:r>
        <w:rPr>
          <w:b/>
          <w:bCs/>
        </w:rPr>
        <w:t>valeur</w:t>
      </w:r>
      <w:r>
        <w:rPr>
          <w:highlight w:val="green"/>
        </w:rPr>
        <w:fldChar w:fldCharType="begin"/>
      </w:r>
      <w:r>
        <w:rPr>
          <w:highlight w:val="green"/>
        </w:rPr>
        <w:instrText xml:space="preserve"> XE "</w:instrText>
      </w:r>
      <w:r>
        <w:rPr>
          <w:noProof/>
          <w:highlight w:val="green"/>
        </w:rPr>
        <w:instrText>Valeur</w:instrText>
      </w:r>
      <w:r>
        <w:rPr>
          <w:highlight w:val="green"/>
        </w:rPr>
        <w:instrText xml:space="preserve">" </w:instrText>
      </w:r>
      <w:r>
        <w:rPr>
          <w:highlight w:val="green"/>
        </w:rPr>
        <w:fldChar w:fldCharType="end"/>
      </w:r>
      <w:r>
        <w:t xml:space="preserve">, c’est l’importance que l’on accorde aux choses, nous apprend le dictionnaire. Pour l’économiste Adam </w:t>
      </w:r>
      <w:r>
        <w:rPr>
          <w:b/>
          <w:bCs/>
        </w:rPr>
        <w:t>Smith</w:t>
      </w:r>
      <w:r>
        <w:rPr>
          <w:highlight w:val="green"/>
        </w:rPr>
        <w:fldChar w:fldCharType="begin"/>
      </w:r>
      <w:r>
        <w:rPr>
          <w:highlight w:val="green"/>
        </w:rPr>
        <w:instrText xml:space="preserve"> XE "</w:instrText>
      </w:r>
      <w:r>
        <w:rPr>
          <w:noProof/>
          <w:highlight w:val="green"/>
        </w:rPr>
        <w:instrText>Smith</w:instrText>
      </w:r>
      <w:r>
        <w:rPr>
          <w:highlight w:val="green"/>
        </w:rPr>
        <w:instrText xml:space="preserve">" </w:instrText>
      </w:r>
      <w:r>
        <w:rPr>
          <w:highlight w:val="green"/>
        </w:rPr>
        <w:fldChar w:fldCharType="end"/>
      </w:r>
      <w:r>
        <w:t xml:space="preserve">, il y a deux dimensions à la notion de valeur : la </w:t>
      </w:r>
      <w:r>
        <w:rPr>
          <w:b/>
          <w:bCs/>
        </w:rPr>
        <w:t>valeur d’usage</w:t>
      </w:r>
      <w:r>
        <w:t xml:space="preserve"> et la </w:t>
      </w:r>
      <w:r>
        <w:rPr>
          <w:b/>
          <w:bCs/>
        </w:rPr>
        <w:t>valeur d’échange</w:t>
      </w:r>
      <w:r>
        <w:t xml:space="preserve">. </w:t>
      </w:r>
      <w:r>
        <w:rPr>
          <w:highlight w:val="green"/>
        </w:rPr>
        <w:fldChar w:fldCharType="begin"/>
      </w:r>
      <w:r>
        <w:rPr>
          <w:highlight w:val="green"/>
        </w:rPr>
        <w:instrText xml:space="preserve"> XE "</w:instrText>
      </w:r>
      <w:r>
        <w:rPr>
          <w:noProof/>
          <w:highlight w:val="green"/>
        </w:rPr>
        <w:instrText>Valeur</w:instrText>
      </w:r>
      <w:r>
        <w:rPr>
          <w:highlight w:val="green"/>
        </w:rPr>
        <w:instrText>:</w:instrText>
      </w:r>
      <w:r>
        <w:rPr>
          <w:noProof/>
          <w:highlight w:val="green"/>
        </w:rPr>
        <w:instrText>– d’usage</w:instrText>
      </w:r>
      <w:r>
        <w:rPr>
          <w:highlight w:val="green"/>
        </w:rPr>
        <w:instrText xml:space="preserve">" </w:instrText>
      </w:r>
      <w:r>
        <w:rPr>
          <w:highlight w:val="green"/>
        </w:rPr>
        <w:fldChar w:fldCharType="end"/>
      </w:r>
      <w:r>
        <w:rPr>
          <w:color w:val="FF0000"/>
          <w:highlight w:val="green"/>
        </w:rPr>
        <w:fldChar w:fldCharType="begin"/>
      </w:r>
      <w:r>
        <w:rPr>
          <w:color w:val="FF0000"/>
          <w:highlight w:val="green"/>
        </w:rPr>
        <w:instrText xml:space="preserve"> XE "</w:instrText>
      </w:r>
      <w:r>
        <w:rPr>
          <w:noProof/>
          <w:color w:val="FF0000"/>
          <w:highlight w:val="green"/>
        </w:rPr>
        <w:instrText>Valeur</w:instrText>
      </w:r>
      <w:r>
        <w:rPr>
          <w:color w:val="FF0000"/>
          <w:highlight w:val="green"/>
        </w:rPr>
        <w:instrText>:</w:instrText>
      </w:r>
      <w:r>
        <w:rPr>
          <w:noProof/>
          <w:color w:val="FF0000"/>
          <w:highlight w:val="green"/>
        </w:rPr>
        <w:instrText>– d’échange</w:instrText>
      </w:r>
      <w:r>
        <w:rPr>
          <w:color w:val="FF0000"/>
          <w:highlight w:val="green"/>
        </w:rPr>
        <w:instrText xml:space="preserve">" </w:instrText>
      </w:r>
      <w:r>
        <w:rPr>
          <w:color w:val="FF0000"/>
          <w:highlight w:val="green"/>
        </w:rPr>
        <w:fldChar w:fldCharType="end"/>
      </w:r>
      <w:r>
        <w:t xml:space="preserve"> Mais en sciences de gestion, le terme valeur fait référence à autre chose.</w:t>
      </w:r>
    </w:p>
    <w:p w14:paraId="06ADF2BE" w14:textId="77777777" w:rsidR="005D07A6" w:rsidRDefault="00F42774">
      <w:pPr>
        <w:pStyle w:val="debutfilet"/>
      </w:pPr>
      <w:r>
        <w:t>Definition</w:t>
      </w:r>
    </w:p>
    <w:p w14:paraId="5A461526" w14:textId="77777777" w:rsidR="005D07A6" w:rsidRDefault="00F42774">
      <w:pPr>
        <w:pStyle w:val="LibelleRubrique"/>
      </w:pPr>
      <w:r>
        <w:t>Définition</w:t>
      </w:r>
    </w:p>
    <w:p w14:paraId="4DA64080" w14:textId="77777777" w:rsidR="005D07A6" w:rsidRDefault="00F42774">
      <w:pPr>
        <w:pStyle w:val="CT"/>
      </w:pPr>
      <w:r>
        <w:t>En sciences de gestion, on appelle « </w:t>
      </w:r>
      <w:r>
        <w:rPr>
          <w:b/>
          <w:bCs/>
          <w:i/>
          <w:iCs/>
          <w:color w:val="FF0000"/>
        </w:rPr>
        <w:t>analyse de la valeur</w:t>
      </w:r>
      <w:r>
        <w:t> » une méthode de conception (ou reconception) des produits ou services pour satisfaire les besoins des utilisateurs au coût juste nécessaire. Ce concept a été élaboré par Larry</w:t>
      </w:r>
      <w:r>
        <w:rPr>
          <w:b/>
          <w:bCs/>
        </w:rPr>
        <w:t xml:space="preserve"> Miles</w:t>
      </w:r>
      <w:r>
        <w:rPr>
          <w:highlight w:val="green"/>
        </w:rPr>
        <w:fldChar w:fldCharType="begin"/>
      </w:r>
      <w:r>
        <w:rPr>
          <w:highlight w:val="green"/>
        </w:rPr>
        <w:instrText xml:space="preserve"> XE "</w:instrText>
      </w:r>
      <w:r>
        <w:rPr>
          <w:noProof/>
          <w:highlight w:val="green"/>
        </w:rPr>
        <w:instrText>Miles</w:instrText>
      </w:r>
      <w:r>
        <w:rPr>
          <w:highlight w:val="green"/>
        </w:rPr>
        <w:instrText xml:space="preserve">" </w:instrText>
      </w:r>
      <w:r>
        <w:rPr>
          <w:highlight w:val="green"/>
        </w:rPr>
        <w:fldChar w:fldCharType="end"/>
      </w:r>
      <w:r>
        <w:t xml:space="preserve"> dans les années 1960.</w:t>
      </w:r>
      <w:r>
        <w:rPr>
          <w:highlight w:val="green"/>
        </w:rPr>
        <w:fldChar w:fldCharType="begin"/>
      </w:r>
      <w:r>
        <w:rPr>
          <w:highlight w:val="green"/>
        </w:rPr>
        <w:instrText xml:space="preserve"> XE "</w:instrText>
      </w:r>
      <w:r>
        <w:rPr>
          <w:noProof/>
          <w:highlight w:val="green"/>
        </w:rPr>
        <w:instrText>Analyse de la valeur</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Valeur</w:instrText>
      </w:r>
      <w:r>
        <w:rPr>
          <w:highlight w:val="green"/>
        </w:rPr>
        <w:instrText>:</w:instrText>
      </w:r>
      <w:r>
        <w:rPr>
          <w:noProof/>
          <w:highlight w:val="green"/>
        </w:rPr>
        <w:instrText>– analyse de la valeur</w:instrText>
      </w:r>
      <w:r>
        <w:rPr>
          <w:highlight w:val="green"/>
        </w:rPr>
        <w:instrText xml:space="preserve">" </w:instrText>
      </w:r>
      <w:r>
        <w:rPr>
          <w:highlight w:val="green"/>
        </w:rPr>
        <w:fldChar w:fldCharType="end"/>
      </w:r>
    </w:p>
    <w:p w14:paraId="7E054557" w14:textId="77777777" w:rsidR="005D07A6" w:rsidRDefault="00F42774">
      <w:pPr>
        <w:pStyle w:val="finfilet"/>
      </w:pPr>
      <w:r>
        <w:t>Fin Definition</w:t>
      </w:r>
    </w:p>
    <w:p w14:paraId="2B420874" w14:textId="77777777" w:rsidR="005D07A6" w:rsidRDefault="00F42774">
      <w:pPr>
        <w:pStyle w:val="CT"/>
      </w:pPr>
      <w:r>
        <w:t>On parle également de « </w:t>
      </w:r>
      <w:r>
        <w:rPr>
          <w:b/>
          <w:bCs/>
        </w:rPr>
        <w:t>management par la valeur</w:t>
      </w:r>
      <w:r>
        <w:t> »</w:t>
      </w:r>
      <w:r>
        <w:rPr>
          <w:highlight w:val="green"/>
        </w:rPr>
        <w:fldChar w:fldCharType="begin"/>
      </w:r>
      <w:r>
        <w:rPr>
          <w:highlight w:val="green"/>
        </w:rPr>
        <w:instrText xml:space="preserve"> XE "</w:instrText>
      </w:r>
      <w:r>
        <w:rPr>
          <w:noProof/>
          <w:highlight w:val="green"/>
        </w:rPr>
        <w:instrText>Management</w:instrText>
      </w:r>
      <w:r>
        <w:rPr>
          <w:highlight w:val="green"/>
        </w:rPr>
        <w:instrText>:</w:instrText>
      </w:r>
      <w:r>
        <w:rPr>
          <w:noProof/>
          <w:highlight w:val="green"/>
        </w:rPr>
        <w:instrText>– par la valeur</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Valeur</w:instrText>
      </w:r>
      <w:r>
        <w:rPr>
          <w:highlight w:val="green"/>
        </w:rPr>
        <w:instrText>:</w:instrText>
      </w:r>
      <w:r>
        <w:rPr>
          <w:noProof/>
          <w:highlight w:val="green"/>
        </w:rPr>
        <w:instrText>– management par la valeur</w:instrText>
      </w:r>
      <w:r>
        <w:rPr>
          <w:highlight w:val="green"/>
        </w:rPr>
        <w:instrText xml:space="preserve">" </w:instrText>
      </w:r>
      <w:r>
        <w:rPr>
          <w:highlight w:val="green"/>
        </w:rPr>
        <w:fldChar w:fldCharType="end"/>
      </w:r>
      <w:r>
        <w:t> :</w:t>
      </w:r>
    </w:p>
    <w:p w14:paraId="1F4B08B5" w14:textId="77777777" w:rsidR="005D07A6" w:rsidRDefault="00F42774">
      <w:pPr>
        <w:pStyle w:val="ET"/>
      </w:pPr>
      <w:r>
        <w:t>analyser les besoins et y répondre ;</w:t>
      </w:r>
    </w:p>
    <w:p w14:paraId="1C99D4EF" w14:textId="77777777" w:rsidR="005D07A6" w:rsidRDefault="00F42774">
      <w:pPr>
        <w:pStyle w:val="ET"/>
      </w:pPr>
      <w:r>
        <w:t>maîtriser les coûts.</w:t>
      </w:r>
    </w:p>
    <w:p w14:paraId="548A8BBF" w14:textId="77777777" w:rsidR="005D07A6" w:rsidRDefault="00F42774">
      <w:pPr>
        <w:pStyle w:val="CT"/>
      </w:pPr>
      <w:r>
        <w:t>L’</w:t>
      </w:r>
      <w:r>
        <w:rPr>
          <w:b/>
          <w:bCs/>
        </w:rPr>
        <w:t>ABM</w:t>
      </w:r>
      <w:r>
        <w:rPr>
          <w:highlight w:val="green"/>
        </w:rPr>
        <w:fldChar w:fldCharType="begin"/>
      </w:r>
      <w:r>
        <w:rPr>
          <w:highlight w:val="green"/>
        </w:rPr>
        <w:instrText xml:space="preserve"> XE "</w:instrText>
      </w:r>
      <w:r>
        <w:rPr>
          <w:noProof/>
          <w:highlight w:val="green"/>
        </w:rPr>
        <w:instrText>Activité</w:instrText>
      </w:r>
      <w:r>
        <w:rPr>
          <w:highlight w:val="green"/>
        </w:rPr>
        <w:instrText>:</w:instrText>
      </w:r>
      <w:r>
        <w:rPr>
          <w:noProof/>
          <w:highlight w:val="green"/>
        </w:rPr>
        <w:instrText>– ABM (Activity Based Management)</w:instrText>
      </w:r>
      <w:r>
        <w:rPr>
          <w:highlight w:val="green"/>
        </w:rPr>
        <w:instrText xml:space="preserve">" </w:instrText>
      </w:r>
      <w:r>
        <w:rPr>
          <w:highlight w:val="green"/>
        </w:rPr>
        <w:fldChar w:fldCharType="end"/>
      </w:r>
      <w:r>
        <w:t xml:space="preserve"> va donc au-delà du constat et du calcul des coûts. Il permet de réorganiser l’entreprise pour améliorer le rapport valeur/coût des activités : quelles sont les activités principales de l’entreprise ? quelles sont les activités à développer ? quelles sont les activités à externaliser ? comment améliorer les activités restantes (notion d’efficience) ? comment acquérir le savoir-faire nécessaire ?… Deux termes sont souvent associés à l’ABM :</w:t>
      </w:r>
    </w:p>
    <w:p w14:paraId="621FFDB2" w14:textId="77777777" w:rsidR="005D07A6" w:rsidRDefault="00F42774">
      <w:pPr>
        <w:pStyle w:val="ET"/>
      </w:pPr>
      <w:r>
        <w:rPr>
          <w:b/>
          <w:bCs/>
          <w:i/>
          <w:iCs/>
        </w:rPr>
        <w:t>reengineering</w:t>
      </w:r>
      <w:r>
        <w:rPr>
          <w:highlight w:val="green"/>
        </w:rPr>
        <w:fldChar w:fldCharType="begin"/>
      </w:r>
      <w:r>
        <w:rPr>
          <w:highlight w:val="green"/>
        </w:rPr>
        <w:instrText xml:space="preserve"> XE "</w:instrText>
      </w:r>
      <w:r>
        <w:rPr>
          <w:noProof/>
          <w:highlight w:val="green"/>
        </w:rPr>
        <w:instrText>Reengineering</w:instrText>
      </w:r>
      <w:r>
        <w:rPr>
          <w:highlight w:val="green"/>
        </w:rPr>
        <w:instrText xml:space="preserve">" </w:instrText>
      </w:r>
      <w:r>
        <w:rPr>
          <w:highlight w:val="green"/>
        </w:rPr>
        <w:fldChar w:fldCharType="end"/>
      </w:r>
      <w:r>
        <w:t xml:space="preserve"> </w:t>
      </w:r>
      <w:r>
        <w:rPr>
          <w:b/>
          <w:bCs/>
        </w:rPr>
        <w:t>(reconfiguration des processus)</w:t>
      </w:r>
      <w:r>
        <w:t> : pour améliorer les processus créateurs de valeur en visant la réduction des coûts, l’amélioration des délais, de la qualité, la satisfaction du client, etc. ;</w:t>
      </w:r>
    </w:p>
    <w:p w14:paraId="0054714E" w14:textId="77777777" w:rsidR="005D07A6" w:rsidRDefault="00F42774">
      <w:pPr>
        <w:pStyle w:val="ET"/>
      </w:pPr>
      <w:r>
        <w:rPr>
          <w:b/>
          <w:bCs/>
        </w:rPr>
        <w:t>benchmarking</w:t>
      </w:r>
      <w:r>
        <w:rPr>
          <w:b/>
          <w:bCs/>
          <w:highlight w:val="green"/>
        </w:rPr>
        <w:fldChar w:fldCharType="begin"/>
      </w:r>
      <w:r>
        <w:rPr>
          <w:b/>
          <w:bCs/>
          <w:highlight w:val="green"/>
        </w:rPr>
        <w:instrText xml:space="preserve"> XE "</w:instrText>
      </w:r>
      <w:r>
        <w:rPr>
          <w:b/>
          <w:bCs/>
          <w:noProof/>
          <w:highlight w:val="green"/>
        </w:rPr>
        <w:instrText>Benchmarking</w:instrText>
      </w:r>
      <w:r>
        <w:rPr>
          <w:b/>
          <w:bCs/>
          <w:highlight w:val="green"/>
        </w:rPr>
        <w:instrText xml:space="preserve">" </w:instrText>
      </w:r>
      <w:r>
        <w:rPr>
          <w:b/>
          <w:bCs/>
          <w:highlight w:val="green"/>
        </w:rPr>
        <w:fldChar w:fldCharType="end"/>
      </w:r>
      <w:r>
        <w:t xml:space="preserve"> </w:t>
      </w:r>
      <w:r>
        <w:rPr>
          <w:b/>
          <w:bCs/>
        </w:rPr>
        <w:t>(étalonnage comparatif)</w:t>
      </w:r>
      <w:r>
        <w:t> : recherche de l’efficience en se comparant à un « au meilleur » choisi parmi les concurrents ou les partenaires.</w:t>
      </w:r>
    </w:p>
    <w:p w14:paraId="428B766E" w14:textId="77777777" w:rsidR="005D07A6" w:rsidRDefault="00F42774">
      <w:pPr>
        <w:pStyle w:val="T2"/>
      </w:pPr>
      <w:r>
        <w:t>Chapitre 3.</w:t>
      </w:r>
      <w:r>
        <w:tab/>
        <w:t>La mise en œuvre de la méthode ABC</w:t>
      </w:r>
    </w:p>
    <w:p w14:paraId="7B4B4388" w14:textId="77777777" w:rsidR="005D07A6" w:rsidRDefault="00F42774">
      <w:pPr>
        <w:pStyle w:val="debutfilet"/>
      </w:pPr>
      <w:r>
        <w:t>Competences_attendues</w:t>
      </w:r>
    </w:p>
    <w:p w14:paraId="116AC460" w14:textId="77777777" w:rsidR="005D07A6" w:rsidRDefault="00F42774">
      <w:pPr>
        <w:pStyle w:val="ET"/>
      </w:pPr>
      <w:r>
        <w:t xml:space="preserve">Calculer et interpréter des coûts, des marges et des résultats dans un contexte donné. </w:t>
      </w:r>
    </w:p>
    <w:p w14:paraId="47FC560A" w14:textId="77777777" w:rsidR="005D07A6" w:rsidRDefault="00F42774">
      <w:pPr>
        <w:pStyle w:val="ET"/>
      </w:pPr>
      <w:r>
        <w:t>Apprécier les intérêts et limites des méthodes de calcul de coûts afin de choisir celle(s) adaptée(s) au contexte de gestion.</w:t>
      </w:r>
    </w:p>
    <w:p w14:paraId="367D9C31" w14:textId="77777777" w:rsidR="005D07A6" w:rsidRDefault="00F42774">
      <w:pPr>
        <w:pStyle w:val="finfilet"/>
      </w:pPr>
      <w:r>
        <w:t>Fin Competences_attendues</w:t>
      </w:r>
    </w:p>
    <w:p w14:paraId="0BDDE67C" w14:textId="77777777" w:rsidR="005D07A6" w:rsidRDefault="00F42774">
      <w:pPr>
        <w:pStyle w:val="CTEspDessous"/>
      </w:pPr>
      <w:r>
        <w:t>La mise en œuvre de la méthode ABC suppose d’élaborer la carte des activités, puis de simplifier la représentation obtenue.</w:t>
      </w:r>
    </w:p>
    <w:p w14:paraId="5ADFDEFD" w14:textId="77777777" w:rsidR="005D07A6" w:rsidRDefault="00F42774">
      <w:pPr>
        <w:pStyle w:val="T3"/>
      </w:pPr>
      <w:r>
        <w:t>section 1.</w:t>
      </w:r>
      <w:r>
        <w:tab/>
        <w:t>L’élaboration de la carte des activités</w:t>
      </w:r>
      <w:r>
        <w:rPr>
          <w:highlight w:val="green"/>
        </w:rPr>
        <w:fldChar w:fldCharType="begin"/>
      </w:r>
      <w:r>
        <w:rPr>
          <w:highlight w:val="green"/>
        </w:rPr>
        <w:instrText xml:space="preserve"> XE "</w:instrText>
      </w:r>
      <w:r>
        <w:rPr>
          <w:noProof/>
          <w:highlight w:val="green"/>
        </w:rPr>
        <w:instrText>Carte des activités</w:instrText>
      </w:r>
      <w:r>
        <w:rPr>
          <w:highlight w:val="green"/>
        </w:rPr>
        <w:instrText xml:space="preserve">" </w:instrText>
      </w:r>
      <w:r>
        <w:rPr>
          <w:highlight w:val="green"/>
        </w:rPr>
        <w:fldChar w:fldCharType="end"/>
      </w:r>
    </w:p>
    <w:p w14:paraId="597A75BD" w14:textId="77777777" w:rsidR="005D07A6" w:rsidRDefault="00F42774">
      <w:pPr>
        <w:pStyle w:val="CTEspDessous"/>
      </w:pPr>
      <w:r>
        <w:lastRenderedPageBreak/>
        <w:t>Cette première étape vise à représenter l’organisation par ses activités. Elle s’attache à répondre à trois questions : quelles sont les activités présentes ? quelles ressources consomment-elles ? quelle est leur production ?</w:t>
      </w:r>
    </w:p>
    <w:p w14:paraId="4A03A7BB" w14:textId="77777777" w:rsidR="005D07A6" w:rsidRDefault="00F42774">
      <w:pPr>
        <w:pStyle w:val="CTEspDessous"/>
      </w:pPr>
      <w:r>
        <w:t>Parallèlement, pour préparer non plus le calcul des coûts mais la gestion des coûts (ABM), d’autres questions sont posées : quelles sont les causes de l’activité ? quelles sont ses performances ? etc.</w:t>
      </w:r>
    </w:p>
    <w:p w14:paraId="09468322" w14:textId="77777777" w:rsidR="005D07A6" w:rsidRDefault="00F42774">
      <w:pPr>
        <w:pStyle w:val="T4"/>
      </w:pPr>
      <w:r>
        <w:t>I.</w:t>
      </w:r>
      <w:r>
        <w:tab/>
        <w:t>Identifier les activités</w:t>
      </w:r>
    </w:p>
    <w:p w14:paraId="71216CCA" w14:textId="77777777" w:rsidR="005D07A6" w:rsidRDefault="00F42774">
      <w:pPr>
        <w:pStyle w:val="CTEspDessous"/>
      </w:pPr>
      <w:r>
        <w:t>L’outil privilégié est l’entretien avec les acteurs. Cette approche a le double avantage de sensibiliser et d’associer les opérationnels au futur modèle de fonctionnement de l’organisation.</w:t>
      </w:r>
    </w:p>
    <w:p w14:paraId="2A577F7D" w14:textId="77777777" w:rsidR="005D07A6" w:rsidRDefault="00F42774">
      <w:pPr>
        <w:pStyle w:val="CTEspDessous"/>
      </w:pPr>
      <w:r>
        <w:t>Cette étape est primordiale et est sans doute la plus intéressante et la plus longue à mettre en œuvre. Pourtant, il faut reconnaître qu’il est difficile de concevoir des exercices sur ce sujet. Les exercices se concentrent donc généralement sur l’aspect calculatoire de la méthode et se situent donc en aval de cette phase d’identification.</w:t>
      </w:r>
    </w:p>
    <w:p w14:paraId="79C2ACDB" w14:textId="77777777" w:rsidR="005D07A6" w:rsidRDefault="00F42774">
      <w:pPr>
        <w:pStyle w:val="debutfiletr"/>
      </w:pPr>
      <w:r>
        <w:t>Application _n-13</w:t>
      </w:r>
    </w:p>
    <w:p w14:paraId="3C6E5494" w14:textId="77777777" w:rsidR="005D07A6" w:rsidRDefault="00F42774">
      <w:pPr>
        <w:pStyle w:val="CT"/>
      </w:pPr>
      <w:r>
        <w:t>À la suite d’un audit organisationnel, l’entreprise NSEG a dressé la liste des activités réalisées en son sein :</w:t>
      </w:r>
    </w:p>
    <w:p w14:paraId="6FAF97E4" w14:textId="77777777" w:rsidR="005D07A6" w:rsidRDefault="00F42774">
      <w:pPr>
        <w:pStyle w:val="CT"/>
      </w:pPr>
      <w:r>
        <w:t>1. Recrutement</w:t>
      </w:r>
    </w:p>
    <w:p w14:paraId="3E62F5C5" w14:textId="77777777" w:rsidR="005D07A6" w:rsidRDefault="00F42774">
      <w:pPr>
        <w:pStyle w:val="CT"/>
      </w:pPr>
      <w:r>
        <w:t>2. Formation</w:t>
      </w:r>
    </w:p>
    <w:p w14:paraId="757B6ECA" w14:textId="77777777" w:rsidR="005D07A6" w:rsidRDefault="00F42774">
      <w:pPr>
        <w:pStyle w:val="CT"/>
      </w:pPr>
      <w:r>
        <w:t>3. Relations avec les salariés</w:t>
      </w:r>
    </w:p>
    <w:p w14:paraId="1B562EA0" w14:textId="77777777" w:rsidR="005D07A6" w:rsidRDefault="00F42774">
      <w:pPr>
        <w:pStyle w:val="CT"/>
      </w:pPr>
      <w:r>
        <w:t>4. Administration des RH</w:t>
      </w:r>
    </w:p>
    <w:p w14:paraId="544771B0" w14:textId="77777777" w:rsidR="005D07A6" w:rsidRDefault="00F42774">
      <w:pPr>
        <w:pStyle w:val="CT"/>
      </w:pPr>
      <w:r>
        <w:t>5. Secrétariat général</w:t>
      </w:r>
    </w:p>
    <w:p w14:paraId="53E1444E" w14:textId="77777777" w:rsidR="005D07A6" w:rsidRDefault="00F42774">
      <w:pPr>
        <w:pStyle w:val="CT"/>
      </w:pPr>
      <w:r>
        <w:t>6. Nettoyage des locaux</w:t>
      </w:r>
    </w:p>
    <w:p w14:paraId="0406363D" w14:textId="77777777" w:rsidR="005D07A6" w:rsidRDefault="00F42774">
      <w:pPr>
        <w:pStyle w:val="CT"/>
      </w:pPr>
      <w:r>
        <w:t>7. Comptabilité</w:t>
      </w:r>
    </w:p>
    <w:p w14:paraId="7D5B63BA" w14:textId="77777777" w:rsidR="005D07A6" w:rsidRDefault="00F42774">
      <w:pPr>
        <w:pStyle w:val="CT"/>
      </w:pPr>
      <w:r>
        <w:t>8. Veille fournisseurs</w:t>
      </w:r>
    </w:p>
    <w:p w14:paraId="360DBECC" w14:textId="77777777" w:rsidR="005D07A6" w:rsidRDefault="00F42774">
      <w:pPr>
        <w:pStyle w:val="CT"/>
      </w:pPr>
      <w:r>
        <w:t>9. Passation des commandes</w:t>
      </w:r>
    </w:p>
    <w:p w14:paraId="485D6510" w14:textId="77777777" w:rsidR="005D07A6" w:rsidRDefault="00F42774">
      <w:pPr>
        <w:pStyle w:val="CT"/>
      </w:pPr>
      <w:r>
        <w:t>10. Réception des commandes et manutention</w:t>
      </w:r>
    </w:p>
    <w:p w14:paraId="41FADF32" w14:textId="77777777" w:rsidR="005D07A6" w:rsidRDefault="00F42774">
      <w:pPr>
        <w:pStyle w:val="CT"/>
      </w:pPr>
      <w:r>
        <w:t>11. Développement</w:t>
      </w:r>
    </w:p>
    <w:p w14:paraId="50514679" w14:textId="77777777" w:rsidR="005D07A6" w:rsidRDefault="00F42774">
      <w:pPr>
        <w:pStyle w:val="CT"/>
      </w:pPr>
      <w:r>
        <w:t>12. Usinage</w:t>
      </w:r>
    </w:p>
    <w:p w14:paraId="59096A78" w14:textId="77777777" w:rsidR="005D07A6" w:rsidRDefault="00F42774">
      <w:pPr>
        <w:pStyle w:val="CT"/>
      </w:pPr>
      <w:r>
        <w:t>13. Montage</w:t>
      </w:r>
    </w:p>
    <w:p w14:paraId="5946679E" w14:textId="77777777" w:rsidR="005D07A6" w:rsidRDefault="00F42774">
      <w:pPr>
        <w:pStyle w:val="CT"/>
      </w:pPr>
      <w:r>
        <w:t>14. Contrôle</w:t>
      </w:r>
    </w:p>
    <w:p w14:paraId="7D01F30F" w14:textId="77777777" w:rsidR="005D07A6" w:rsidRDefault="00F42774">
      <w:pPr>
        <w:pStyle w:val="CT"/>
      </w:pPr>
      <w:r>
        <w:t>15. Entretien préventif</w:t>
      </w:r>
    </w:p>
    <w:p w14:paraId="4ED67E69" w14:textId="77777777" w:rsidR="005D07A6" w:rsidRDefault="00F42774">
      <w:pPr>
        <w:pStyle w:val="CT"/>
      </w:pPr>
      <w:r>
        <w:t>16. Réparations</w:t>
      </w:r>
    </w:p>
    <w:p w14:paraId="15BC54A5" w14:textId="77777777" w:rsidR="005D07A6" w:rsidRDefault="00F42774">
      <w:pPr>
        <w:pStyle w:val="CT"/>
      </w:pPr>
      <w:r>
        <w:t>17. Ventes</w:t>
      </w:r>
    </w:p>
    <w:p w14:paraId="7507F0E4" w14:textId="77777777" w:rsidR="005D07A6" w:rsidRDefault="00F42774">
      <w:pPr>
        <w:pStyle w:val="CT"/>
      </w:pPr>
      <w:r>
        <w:t>18. Promotion des ventes</w:t>
      </w:r>
    </w:p>
    <w:p w14:paraId="4CB14873" w14:textId="77777777" w:rsidR="005D07A6" w:rsidRDefault="00F42774">
      <w:pPr>
        <w:pStyle w:val="CT"/>
      </w:pPr>
      <w:r>
        <w:t>19. Suivi des clients</w:t>
      </w:r>
    </w:p>
    <w:p w14:paraId="483533BA" w14:textId="77777777" w:rsidR="005D07A6" w:rsidRDefault="00F42774">
      <w:pPr>
        <w:pStyle w:val="CT"/>
      </w:pPr>
      <w:r>
        <w:t>Reportez-vous aux pages 126 et 128 pour la mise en application de ces données.</w:t>
      </w:r>
    </w:p>
    <w:p w14:paraId="3C0E3924" w14:textId="77777777" w:rsidR="005D07A6" w:rsidRDefault="00F42774">
      <w:pPr>
        <w:pStyle w:val="finfiletr"/>
      </w:pPr>
      <w:r>
        <w:t>Fin Application</w:t>
      </w:r>
    </w:p>
    <w:p w14:paraId="08B2FA5D" w14:textId="77777777" w:rsidR="005D07A6" w:rsidRDefault="00F42774">
      <w:pPr>
        <w:pStyle w:val="T4"/>
      </w:pPr>
      <w:r>
        <w:t>II.</w:t>
      </w:r>
      <w:r>
        <w:tab/>
        <w:t>Évaluer les ressources consommées par les activités</w:t>
      </w:r>
    </w:p>
    <w:p w14:paraId="553B84EC" w14:textId="77777777" w:rsidR="005D07A6" w:rsidRDefault="00F42774">
      <w:pPr>
        <w:pStyle w:val="CTEspDessous"/>
      </w:pPr>
      <w:r>
        <w:t>La méthode ABC, lorsqu’elle est présentée dans la plupart des manuels de contrôle de gestion, insiste sur l’importance d’identifier l’origine des coûts, c’est-à-dire sur les liens de causalité entre la consommation de ressources et les activités. Il s’agit de faire disparaître l’arbitraire lié à l’imputation des charges indirectes aux différents coûts. En pratique cependant, l’évaluation des ressources consommées par les activités suit le même raisonnement que celui qui est suivi dans la méthode des centres d’analyse.</w:t>
      </w:r>
    </w:p>
    <w:p w14:paraId="676721FB" w14:textId="77777777" w:rsidR="005D07A6" w:rsidRDefault="00F42774">
      <w:pPr>
        <w:pStyle w:val="debutfilet"/>
      </w:pPr>
      <w:r>
        <w:t>Remarque</w:t>
      </w:r>
    </w:p>
    <w:p w14:paraId="7A8F88A0" w14:textId="77777777" w:rsidR="005D07A6" w:rsidRDefault="00F42774">
      <w:pPr>
        <w:pStyle w:val="LibelleRubrique"/>
      </w:pPr>
      <w:r>
        <w:t>Remarque</w:t>
      </w:r>
    </w:p>
    <w:p w14:paraId="6F795849" w14:textId="77777777" w:rsidR="005D07A6" w:rsidRDefault="00F42774">
      <w:pPr>
        <w:pStyle w:val="CT"/>
      </w:pPr>
      <w:r>
        <w:t xml:space="preserve">On peut lire parfois qu’avec la méthode traditionnelle, les charges indirectes sont indirectes par rapport aux produits alors qu’avec la méthode ABC, elles deviennent directes par rapport aux activités (mais demeurent indirectes par rapport aux produits). </w:t>
      </w:r>
      <w:r>
        <w:lastRenderedPageBreak/>
        <w:t>C’est une manière bien paradoxale de présenter la méthode. On peut penser que les charges indirectes sont indirectes tant que le choix de la clé de répartition (qu’on l’appelle unité d’œuvre ou inducteur) n’est pas identifié. Dès lors qu’une clé de répartition est connue, toutes les charges deviennent « directes » puisque le lien entre la consommation et l’objet de coût est connu !</w:t>
      </w:r>
    </w:p>
    <w:p w14:paraId="1D3CD398" w14:textId="77777777" w:rsidR="005D07A6" w:rsidRDefault="00F42774">
      <w:pPr>
        <w:pStyle w:val="finfilet"/>
      </w:pPr>
      <w:r>
        <w:t>Fin Remarque</w:t>
      </w:r>
    </w:p>
    <w:p w14:paraId="418E376D" w14:textId="77777777" w:rsidR="005D07A6" w:rsidRDefault="00F42774">
      <w:pPr>
        <w:pStyle w:val="CTEspDessous"/>
      </w:pPr>
      <w:r>
        <w:t>En pratique, dans les sujets d’examen, l’identification des activités et l’évaluation des ressources consommées sont données dans les annexes et correspondent presque toujours à un redécoupage des centres d’analyses proposés dans un premier temps.</w:t>
      </w:r>
    </w:p>
    <w:p w14:paraId="07F115D6" w14:textId="77777777" w:rsidR="005D07A6" w:rsidRDefault="00F42774">
      <w:pPr>
        <w:pStyle w:val="debutfiletr"/>
      </w:pPr>
      <w:r>
        <w:t>Application _n-14</w:t>
      </w:r>
    </w:p>
    <w:p w14:paraId="46DF5FED" w14:textId="77777777" w:rsidR="005D07A6" w:rsidRDefault="00F42774">
      <w:pPr>
        <w:pStyle w:val="CT"/>
      </w:pPr>
      <w:r>
        <w:rPr>
          <w:i/>
          <w:iCs/>
        </w:rPr>
        <w:t>Extraits du sujet DCG 2016</w:t>
      </w:r>
    </w:p>
    <w:p w14:paraId="026FCEE2" w14:textId="77777777" w:rsidR="005D07A6" w:rsidRDefault="00F42774">
      <w:pPr>
        <w:pStyle w:val="CT"/>
      </w:pPr>
      <w:r>
        <w:t>L’entreprise ALTEOS, créée en 1999 par d’anciens médecins, est spécialisée dans la fabrication, la commercialisation et la recherche en compléments alimentaires et produits diététiques.</w:t>
      </w:r>
    </w:p>
    <w:p w14:paraId="16606808" w14:textId="77777777" w:rsidR="005D07A6" w:rsidRDefault="00F42774">
      <w:pPr>
        <w:pStyle w:val="CT"/>
      </w:pPr>
      <w:r>
        <w:t>Actuellement le contrôleur de gestion applique la méthode des centres d’analyse pour déterminer le coût de revient de ses produits. Il envisage de profiter de la démarche processus pour améliorer l’imputation des charges indirectes d’approvisionnement sur les produits.</w:t>
      </w:r>
    </w:p>
    <w:p w14:paraId="0B83A9AB" w14:textId="77777777" w:rsidR="005D07A6" w:rsidRDefault="00F42774">
      <w:pPr>
        <w:pStyle w:val="CT"/>
      </w:pPr>
      <w:r>
        <w:t>Les charges indirectes du centre approvisionnement concernent uniquement le cassis et la menthe fraîche et s’élèvent à 372 000 €. L’unité d’œuvre retenue est le kg de matière végétale (cassis ou menthe fraîche) achetée.</w:t>
      </w:r>
    </w:p>
    <w:p w14:paraId="5510B66C" w14:textId="77777777" w:rsidR="005D07A6" w:rsidRDefault="00F42774">
      <w:pPr>
        <w:pStyle w:val="CT"/>
      </w:pPr>
      <w:r>
        <w:t>Le contrôleur de gestion réunit les informations suivantes afin de mettre en place une méthode ABC :</w:t>
      </w:r>
    </w:p>
    <w:tbl>
      <w:tblPr>
        <w:tblW w:w="7620" w:type="dxa"/>
        <w:tblInd w:w="1701" w:type="dxa"/>
        <w:tblLook w:val="04A0" w:firstRow="1" w:lastRow="0" w:firstColumn="1" w:lastColumn="0" w:noHBand="0" w:noVBand="1"/>
      </w:tblPr>
      <w:tblGrid>
        <w:gridCol w:w="1980"/>
        <w:gridCol w:w="3620"/>
        <w:gridCol w:w="2020"/>
      </w:tblGrid>
      <w:tr w:rsidR="005D07A6" w14:paraId="44A82CE8" w14:textId="77777777">
        <w:tc>
          <w:tcPr>
            <w:tcW w:w="148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D333B00" w14:textId="77777777" w:rsidR="005D07A6" w:rsidRDefault="00F42774">
            <w:pPr>
              <w:pStyle w:val="TA1"/>
              <w:jc w:val="center"/>
              <w:rPr>
                <w:rFonts w:eastAsiaTheme="minorEastAsia"/>
              </w:rPr>
            </w:pPr>
            <w:r>
              <w:rPr>
                <w:b/>
                <w:bCs/>
              </w:rPr>
              <w:t>Activité</w:t>
            </w:r>
          </w:p>
        </w:tc>
        <w:tc>
          <w:tcPr>
            <w:tcW w:w="271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16B732D" w14:textId="77777777" w:rsidR="005D07A6" w:rsidRDefault="00F42774">
            <w:pPr>
              <w:pStyle w:val="TA1"/>
              <w:jc w:val="center"/>
              <w:rPr>
                <w:rFonts w:eastAsiaTheme="minorEastAsia"/>
              </w:rPr>
            </w:pPr>
            <w:r>
              <w:rPr>
                <w:b/>
                <w:bCs/>
              </w:rPr>
              <w:t>Charges annuelles attribuées à l’activité</w:t>
            </w:r>
          </w:p>
        </w:tc>
        <w:tc>
          <w:tcPr>
            <w:tcW w:w="151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22E48B6" w14:textId="77777777" w:rsidR="005D07A6" w:rsidRDefault="00F42774">
            <w:pPr>
              <w:pStyle w:val="TA1"/>
              <w:jc w:val="center"/>
              <w:rPr>
                <w:rFonts w:eastAsiaTheme="minorEastAsia"/>
              </w:rPr>
            </w:pPr>
            <w:r>
              <w:rPr>
                <w:b/>
                <w:bCs/>
              </w:rPr>
              <w:t>Inducteur</w:t>
            </w:r>
          </w:p>
        </w:tc>
      </w:tr>
      <w:tr w:rsidR="005D07A6" w14:paraId="396C0006" w14:textId="77777777">
        <w:tc>
          <w:tcPr>
            <w:tcW w:w="14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2CFA25E" w14:textId="77777777" w:rsidR="005D07A6" w:rsidRDefault="00F42774">
            <w:pPr>
              <w:pStyle w:val="TA1"/>
              <w:rPr>
                <w:rFonts w:eastAsiaTheme="minorEastAsia"/>
              </w:rPr>
            </w:pPr>
            <w:r>
              <w:t>Relations fournisseurs</w:t>
            </w:r>
          </w:p>
        </w:tc>
        <w:tc>
          <w:tcPr>
            <w:tcW w:w="27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294B1B5" w14:textId="77777777" w:rsidR="005D07A6" w:rsidRDefault="00F42774">
            <w:pPr>
              <w:pStyle w:val="TA1"/>
              <w:jc w:val="center"/>
              <w:rPr>
                <w:rFonts w:eastAsiaTheme="minorEastAsia"/>
              </w:rPr>
            </w:pPr>
            <w:r>
              <w:t>170 000 €</w:t>
            </w:r>
          </w:p>
        </w:tc>
        <w:tc>
          <w:tcPr>
            <w:tcW w:w="15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D726A7C" w14:textId="77777777" w:rsidR="005D07A6" w:rsidRDefault="00F42774">
            <w:pPr>
              <w:pStyle w:val="TA1"/>
              <w:rPr>
                <w:rFonts w:eastAsiaTheme="minorEastAsia"/>
              </w:rPr>
            </w:pPr>
            <w:r>
              <w:t>Nombre de fournisseurs</w:t>
            </w:r>
          </w:p>
        </w:tc>
      </w:tr>
      <w:tr w:rsidR="005D07A6" w14:paraId="002C1D6F" w14:textId="77777777">
        <w:tc>
          <w:tcPr>
            <w:tcW w:w="14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F49AC02" w14:textId="77777777" w:rsidR="005D07A6" w:rsidRDefault="00F42774">
            <w:pPr>
              <w:pStyle w:val="TA1"/>
              <w:rPr>
                <w:rFonts w:eastAsiaTheme="minorEastAsia"/>
              </w:rPr>
            </w:pPr>
            <w:r>
              <w:t>Réception des commandes</w:t>
            </w:r>
          </w:p>
        </w:tc>
        <w:tc>
          <w:tcPr>
            <w:tcW w:w="27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858D405" w14:textId="77777777" w:rsidR="005D07A6" w:rsidRDefault="00F42774">
            <w:pPr>
              <w:pStyle w:val="TA1"/>
              <w:jc w:val="center"/>
              <w:rPr>
                <w:rFonts w:eastAsiaTheme="minorEastAsia"/>
              </w:rPr>
            </w:pPr>
            <w:r>
              <w:t>90 400 €</w:t>
            </w:r>
          </w:p>
        </w:tc>
        <w:tc>
          <w:tcPr>
            <w:tcW w:w="15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2CA9112" w14:textId="77777777" w:rsidR="005D07A6" w:rsidRDefault="00F42774">
            <w:pPr>
              <w:pStyle w:val="TA1"/>
              <w:rPr>
                <w:rFonts w:eastAsiaTheme="minorEastAsia"/>
              </w:rPr>
            </w:pPr>
            <w:r>
              <w:t>Nombre de lots commandés</w:t>
            </w:r>
          </w:p>
        </w:tc>
      </w:tr>
      <w:tr w:rsidR="005D07A6" w14:paraId="5DF3486C" w14:textId="77777777">
        <w:tc>
          <w:tcPr>
            <w:tcW w:w="14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771E026" w14:textId="77777777" w:rsidR="005D07A6" w:rsidRDefault="00F42774">
            <w:pPr>
              <w:pStyle w:val="TA1"/>
              <w:rPr>
                <w:rFonts w:eastAsiaTheme="minorEastAsia"/>
              </w:rPr>
            </w:pPr>
            <w:r>
              <w:t>Stockage des matières</w:t>
            </w:r>
          </w:p>
        </w:tc>
        <w:tc>
          <w:tcPr>
            <w:tcW w:w="27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6B0EDD2" w14:textId="77777777" w:rsidR="005D07A6" w:rsidRDefault="00F42774">
            <w:pPr>
              <w:pStyle w:val="TA1"/>
              <w:jc w:val="center"/>
              <w:rPr>
                <w:rFonts w:eastAsiaTheme="minorEastAsia"/>
              </w:rPr>
            </w:pPr>
            <w:r>
              <w:t>111 600 €</w:t>
            </w:r>
          </w:p>
        </w:tc>
        <w:tc>
          <w:tcPr>
            <w:tcW w:w="15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CA0553F" w14:textId="77777777" w:rsidR="005D07A6" w:rsidRDefault="00F42774">
            <w:pPr>
              <w:pStyle w:val="TA1"/>
              <w:rPr>
                <w:rFonts w:eastAsiaTheme="minorEastAsia"/>
              </w:rPr>
            </w:pPr>
            <w:r>
              <w:t>Nombre de lots commandés</w:t>
            </w:r>
          </w:p>
        </w:tc>
      </w:tr>
      <w:tr w:rsidR="005D07A6" w14:paraId="5FEDAE47" w14:textId="77777777">
        <w:tc>
          <w:tcPr>
            <w:tcW w:w="14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92E3EDC" w14:textId="77777777" w:rsidR="005D07A6" w:rsidRDefault="00F42774">
            <w:pPr>
              <w:pStyle w:val="TA1"/>
              <w:rPr>
                <w:rFonts w:eastAsiaTheme="minorEastAsia"/>
              </w:rPr>
            </w:pPr>
            <w:r>
              <w:t>Total</w:t>
            </w:r>
          </w:p>
        </w:tc>
        <w:tc>
          <w:tcPr>
            <w:tcW w:w="27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E2E5FC7" w14:textId="77777777" w:rsidR="005D07A6" w:rsidRDefault="00F42774">
            <w:pPr>
              <w:pStyle w:val="TA1"/>
              <w:jc w:val="center"/>
              <w:rPr>
                <w:rFonts w:eastAsiaTheme="minorEastAsia"/>
              </w:rPr>
            </w:pPr>
            <w:r>
              <w:t>372 000 €</w:t>
            </w:r>
          </w:p>
        </w:tc>
        <w:tc>
          <w:tcPr>
            <w:tcW w:w="1515" w:type="dxa"/>
            <w:tcBorders>
              <w:top w:val="single" w:sz="4" w:space="0" w:color="auto"/>
              <w:left w:val="single" w:sz="4" w:space="0" w:color="auto"/>
              <w:bottom w:val="nil"/>
              <w:right w:val="nil"/>
            </w:tcBorders>
            <w:tcMar>
              <w:top w:w="0" w:type="dxa"/>
              <w:left w:w="2" w:type="dxa"/>
              <w:bottom w:w="0" w:type="dxa"/>
              <w:right w:w="2" w:type="dxa"/>
            </w:tcMar>
            <w:hideMark/>
          </w:tcPr>
          <w:p w14:paraId="341D37AD" w14:textId="77777777" w:rsidR="005D07A6" w:rsidRDefault="005D07A6"/>
        </w:tc>
      </w:tr>
    </w:tbl>
    <w:p w14:paraId="3C43D01B" w14:textId="77777777" w:rsidR="005D07A6" w:rsidRDefault="00F42774">
      <w:pPr>
        <w:pStyle w:val="CT"/>
        <w:rPr>
          <w:rFonts w:eastAsiaTheme="minorEastAsia"/>
        </w:rPr>
      </w:pPr>
      <w:r>
        <w:t>On constate dans cet exemple que le sujet fournit une liste d’activité qui n’est qu’une subdivision du centre d’analyse antérieur. Tout laisse penser que le centre d’analyse « approvisionnement » n’était pas homogène et que l’unité d’œuvre (le kilo de matière achetée) n’était pas pertinente. Cet exemple illustre le fait que ce que l’on appelle ABC n’est en rien une méthode différente de la méthode des centres d’analyse, mais que c’est un simple approfondissement de la méthode de calcul des coûts antérieure. On aurait très bien pu dire que l’on subdivisait l’ancien centre « approvisionnement » en trois centres homogènes, et que l’on modifie le choix de l’unité d’œuvre. Le résultat aurait été le même.</w:t>
      </w:r>
    </w:p>
    <w:p w14:paraId="10936E62" w14:textId="77777777" w:rsidR="005D07A6" w:rsidRDefault="00F42774">
      <w:pPr>
        <w:pStyle w:val="finfiletr"/>
      </w:pPr>
      <w:r>
        <w:t>Fin Application</w:t>
      </w:r>
    </w:p>
    <w:p w14:paraId="02FE5F86" w14:textId="77777777" w:rsidR="005D07A6" w:rsidRDefault="00F42774">
      <w:pPr>
        <w:pStyle w:val="T4"/>
      </w:pPr>
      <w:r>
        <w:t>III.</w:t>
      </w:r>
      <w:r>
        <w:tab/>
        <w:t>Choix des inducteurs d’activité</w:t>
      </w:r>
    </w:p>
    <w:p w14:paraId="73A35AD0" w14:textId="77777777" w:rsidR="005D07A6" w:rsidRDefault="00F42774">
      <w:pPr>
        <w:pStyle w:val="debutfilet"/>
      </w:pPr>
      <w:r>
        <w:t>Definition</w:t>
      </w:r>
    </w:p>
    <w:p w14:paraId="5CDFD42D" w14:textId="77777777" w:rsidR="005D07A6" w:rsidRDefault="00F42774">
      <w:pPr>
        <w:pStyle w:val="LibelleRubrique"/>
      </w:pPr>
      <w:r>
        <w:t>Définition</w:t>
      </w:r>
    </w:p>
    <w:p w14:paraId="11DBA16F" w14:textId="77777777" w:rsidR="005D07A6" w:rsidRDefault="00F42774">
      <w:pPr>
        <w:pStyle w:val="CT"/>
      </w:pPr>
      <w:r>
        <w:t xml:space="preserve">Un </w:t>
      </w:r>
      <w:r>
        <w:rPr>
          <w:b/>
          <w:bCs/>
          <w:i/>
          <w:iCs/>
          <w:color w:val="FF0000"/>
        </w:rPr>
        <w:t>inducteur d’activité</w:t>
      </w:r>
      <w:r>
        <w:rPr>
          <w:highlight w:val="green"/>
        </w:rPr>
        <w:fldChar w:fldCharType="begin"/>
      </w:r>
      <w:r>
        <w:rPr>
          <w:highlight w:val="green"/>
        </w:rPr>
        <w:instrText xml:space="preserve"> XE "</w:instrText>
      </w:r>
      <w:r>
        <w:rPr>
          <w:noProof/>
          <w:highlight w:val="green"/>
        </w:rPr>
        <w:instrText>Inducteur</w:instrText>
      </w:r>
      <w:r>
        <w:rPr>
          <w:highlight w:val="green"/>
        </w:rPr>
        <w:instrText>:</w:instrText>
      </w:r>
      <w:r>
        <w:rPr>
          <w:noProof/>
          <w:highlight w:val="green"/>
        </w:rPr>
        <w:instrText>– d’activité</w:instrText>
      </w:r>
      <w:r>
        <w:rPr>
          <w:highlight w:val="green"/>
        </w:rPr>
        <w:instrText xml:space="preserve">" </w:instrText>
      </w:r>
      <w:r>
        <w:rPr>
          <w:highlight w:val="green"/>
        </w:rPr>
        <w:fldChar w:fldCharType="end"/>
      </w:r>
      <w:r>
        <w:t xml:space="preserve"> ou inducteur de coût </w:t>
      </w:r>
      <w:r>
        <w:rPr>
          <w:highlight w:val="green"/>
        </w:rPr>
        <w:fldChar w:fldCharType="begin"/>
      </w:r>
      <w:r>
        <w:rPr>
          <w:highlight w:val="green"/>
        </w:rPr>
        <w:instrText xml:space="preserve"> XE "</w:instrText>
      </w:r>
      <w:r>
        <w:rPr>
          <w:noProof/>
          <w:highlight w:val="green"/>
        </w:rPr>
        <w:instrText>Inducteur</w:instrText>
      </w:r>
      <w:r>
        <w:rPr>
          <w:highlight w:val="green"/>
        </w:rPr>
        <w:instrText>:</w:instrText>
      </w:r>
      <w:r>
        <w:rPr>
          <w:noProof/>
          <w:highlight w:val="green"/>
        </w:rPr>
        <w:instrText>– de coût</w:instrText>
      </w:r>
      <w:r>
        <w:rPr>
          <w:highlight w:val="green"/>
        </w:rPr>
        <w:instrText xml:space="preserve">" </w:instrText>
      </w:r>
      <w:r>
        <w:rPr>
          <w:highlight w:val="green"/>
        </w:rPr>
        <w:fldChar w:fldCharType="end"/>
      </w:r>
      <w:r>
        <w:t xml:space="preserve"> mesure comment les objets de coût consomment les activités. Il permet d’allouer le coût de l’activité en fonction du nombre d’inducteurs consommés par les objets de coût (produit, processus, projets, clientèle, etc.).</w:t>
      </w:r>
    </w:p>
    <w:p w14:paraId="31CCE60F" w14:textId="77777777" w:rsidR="005D07A6" w:rsidRDefault="00F42774">
      <w:pPr>
        <w:pStyle w:val="finfilet"/>
      </w:pPr>
      <w:r>
        <w:t>Fin Definition</w:t>
      </w:r>
    </w:p>
    <w:p w14:paraId="1CA292E9" w14:textId="77777777" w:rsidR="005D07A6" w:rsidRDefault="00F42774">
      <w:pPr>
        <w:pStyle w:val="CTEspDessous"/>
      </w:pPr>
      <w:r>
        <w:t>Techniquement, le rôle d’un inducteur d’activité est similaire à celui d’une unité d’œuvre dans le processus de calcul des coûts. Seule la terminologie change.</w:t>
      </w:r>
    </w:p>
    <w:p w14:paraId="23EAB6BC" w14:textId="77777777" w:rsidR="005D07A6" w:rsidRDefault="00F42774">
      <w:pPr>
        <w:pStyle w:val="CTEspDessous"/>
      </w:pPr>
      <w:r>
        <w:t xml:space="preserve">Dans la méthode des centres d’analyse, l’approche « ingénieur » conduit généralement à privilégier des notions mathématiques comme l’analyse statistique ou les coefficients de </w:t>
      </w:r>
      <w:r>
        <w:lastRenderedPageBreak/>
        <w:t>corrélation. Dans la méthode ABC, l’approche « management » conduit à privilégier la compréhension du fonctionnement de l’entreprise en conduisant des entretiens avec les acteurs. Les deux démarches adoptent des angles d’approche différents, mais cela ne signifie pas qu’un inducteur de coût ne doive pas être corrélé à la consommation de l’activité, ni qu’une unité d’œuvre ne puisse pas être déterminée après des discussions avec les opérationnels.</w:t>
      </w:r>
    </w:p>
    <w:p w14:paraId="7E7105B6" w14:textId="77777777" w:rsidR="005D07A6" w:rsidRDefault="00F42774">
      <w:pPr>
        <w:pStyle w:val="CTEspDessous"/>
      </w:pPr>
      <w:r>
        <w:t>En pratique, les entreprises qui veulent mettre en œuvre une démarche ABC doivent identifier des activités élémentaires, puis pour chacune d’elles, identifier un inducteur pertinent. Cela les conduit à dresser un tableau appelé matrice activités/inducteurs.</w:t>
      </w:r>
    </w:p>
    <w:p w14:paraId="50F518E4" w14:textId="77777777" w:rsidR="005D07A6" w:rsidRDefault="00F42774">
      <w:pPr>
        <w:pStyle w:val="debutfiletr"/>
      </w:pPr>
      <w:r>
        <w:t>Application _n-13_Suite</w:t>
      </w:r>
    </w:p>
    <w:p w14:paraId="65C8D3BE" w14:textId="77777777" w:rsidR="005D07A6" w:rsidRDefault="00F42774">
      <w:pPr>
        <w:pStyle w:val="CT"/>
      </w:pPr>
      <w:r>
        <w:t>L’entreprise NSEG a construit la matrice activités-inducteurs suivante :</w:t>
      </w:r>
    </w:p>
    <w:tbl>
      <w:tblPr>
        <w:tblW w:w="7637" w:type="dxa"/>
        <w:tblInd w:w="1701" w:type="dxa"/>
        <w:tblLook w:val="04A0" w:firstRow="1" w:lastRow="0" w:firstColumn="1" w:lastColumn="0" w:noHBand="0" w:noVBand="1"/>
      </w:tblPr>
      <w:tblGrid>
        <w:gridCol w:w="1271"/>
        <w:gridCol w:w="731"/>
        <w:gridCol w:w="691"/>
        <w:gridCol w:w="981"/>
        <w:gridCol w:w="671"/>
        <w:gridCol w:w="1101"/>
        <w:gridCol w:w="1331"/>
        <w:gridCol w:w="1181"/>
        <w:gridCol w:w="721"/>
        <w:gridCol w:w="761"/>
        <w:gridCol w:w="691"/>
        <w:gridCol w:w="1201"/>
        <w:gridCol w:w="691"/>
        <w:gridCol w:w="730"/>
      </w:tblGrid>
      <w:tr w:rsidR="005D07A6" w14:paraId="4BD8C8C2" w14:textId="77777777">
        <w:tc>
          <w:tcPr>
            <w:tcW w:w="1620" w:type="dxa"/>
            <w:tcBorders>
              <w:top w:val="nil"/>
              <w:left w:val="nil"/>
              <w:bottom w:val="single" w:sz="4" w:space="0" w:color="auto"/>
              <w:right w:val="single" w:sz="4" w:space="0" w:color="auto"/>
            </w:tcBorders>
            <w:tcMar>
              <w:top w:w="0" w:type="dxa"/>
              <w:left w:w="2" w:type="dxa"/>
              <w:bottom w:w="0" w:type="dxa"/>
              <w:right w:w="2" w:type="dxa"/>
            </w:tcMar>
            <w:hideMark/>
          </w:tcPr>
          <w:p w14:paraId="647015F5" w14:textId="77777777" w:rsidR="005D07A6" w:rsidRDefault="005D07A6"/>
        </w:tc>
        <w:tc>
          <w:tcPr>
            <w:tcW w:w="27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B075476" w14:textId="77777777" w:rsidR="005D07A6" w:rsidRDefault="00F42774">
            <w:pPr>
              <w:pStyle w:val="TA1"/>
              <w:jc w:val="center"/>
              <w:rPr>
                <w:rFonts w:eastAsiaTheme="minorEastAsia"/>
              </w:rPr>
            </w:pPr>
            <w:r>
              <w:rPr>
                <w:b/>
                <w:bCs/>
              </w:rPr>
              <w:t>Masse salariale</w:t>
            </w:r>
          </w:p>
        </w:tc>
        <w:tc>
          <w:tcPr>
            <w:tcW w:w="27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3400165" w14:textId="77777777" w:rsidR="005D07A6" w:rsidRDefault="00F42774">
            <w:pPr>
              <w:pStyle w:val="TA1"/>
              <w:jc w:val="center"/>
              <w:rPr>
                <w:rFonts w:eastAsiaTheme="minorEastAsia"/>
              </w:rPr>
            </w:pPr>
            <w:r>
              <w:rPr>
                <w:b/>
                <w:bCs/>
              </w:rPr>
              <w:t>Nombre de salariés</w:t>
            </w:r>
          </w:p>
        </w:tc>
        <w:tc>
          <w:tcPr>
            <w:tcW w:w="34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98240F4" w14:textId="77777777" w:rsidR="005D07A6" w:rsidRDefault="00F42774">
            <w:pPr>
              <w:pStyle w:val="TA1"/>
              <w:jc w:val="center"/>
              <w:rPr>
                <w:rFonts w:eastAsiaTheme="minorEastAsia"/>
              </w:rPr>
            </w:pPr>
            <w:r>
              <w:rPr>
                <w:b/>
                <w:bCs/>
              </w:rPr>
              <w:t>Activité globale (existence) de l’entreprise</w:t>
            </w:r>
          </w:p>
        </w:tc>
        <w:tc>
          <w:tcPr>
            <w:tcW w:w="27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502B27F" w14:textId="77777777" w:rsidR="005D07A6" w:rsidRDefault="00F42774">
            <w:pPr>
              <w:pStyle w:val="TA1"/>
              <w:jc w:val="center"/>
              <w:rPr>
                <w:rFonts w:eastAsiaTheme="minorEastAsia"/>
              </w:rPr>
            </w:pPr>
            <w:r>
              <w:rPr>
                <w:b/>
                <w:bCs/>
              </w:rPr>
              <w:t>Surface des locaux</w:t>
            </w:r>
          </w:p>
        </w:tc>
        <w:tc>
          <w:tcPr>
            <w:tcW w:w="34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3869485" w14:textId="77777777" w:rsidR="005D07A6" w:rsidRDefault="00F42774">
            <w:pPr>
              <w:pStyle w:val="TA1"/>
              <w:jc w:val="center"/>
              <w:rPr>
                <w:rFonts w:eastAsiaTheme="minorEastAsia"/>
              </w:rPr>
            </w:pPr>
            <w:r>
              <w:rPr>
                <w:b/>
                <w:bCs/>
              </w:rPr>
              <w:t xml:space="preserve">Nombre de fournisseurs </w:t>
            </w:r>
            <w:r>
              <w:t>= </w:t>
            </w:r>
            <w:r>
              <w:rPr>
                <w:b/>
                <w:bCs/>
              </w:rPr>
              <w:t>Nombre de composants</w:t>
            </w:r>
          </w:p>
        </w:tc>
        <w:tc>
          <w:tcPr>
            <w:tcW w:w="34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CFC78C0" w14:textId="77777777" w:rsidR="005D07A6" w:rsidRDefault="00F42774">
            <w:pPr>
              <w:pStyle w:val="TA1"/>
              <w:jc w:val="center"/>
              <w:rPr>
                <w:rFonts w:eastAsiaTheme="minorEastAsia"/>
              </w:rPr>
            </w:pPr>
            <w:r>
              <w:rPr>
                <w:b/>
                <w:bCs/>
              </w:rPr>
              <w:t>Nombre total de composants achetés</w:t>
            </w:r>
          </w:p>
        </w:tc>
        <w:tc>
          <w:tcPr>
            <w:tcW w:w="49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CB12DB2" w14:textId="77777777" w:rsidR="005D07A6" w:rsidRDefault="00F42774">
            <w:pPr>
              <w:pStyle w:val="TA1"/>
              <w:jc w:val="center"/>
              <w:rPr>
                <w:rFonts w:eastAsiaTheme="minorEastAsia"/>
              </w:rPr>
            </w:pPr>
            <w:r>
              <w:rPr>
                <w:b/>
                <w:bCs/>
              </w:rPr>
              <w:t xml:space="preserve">Nombre de livraisons </w:t>
            </w:r>
            <w:r>
              <w:t>= </w:t>
            </w:r>
            <w:r>
              <w:rPr>
                <w:b/>
                <w:bCs/>
              </w:rPr>
              <w:t xml:space="preserve">nombre de lots </w:t>
            </w:r>
            <w:r>
              <w:t>×</w:t>
            </w:r>
            <w:r>
              <w:rPr>
                <w:b/>
                <w:bCs/>
              </w:rPr>
              <w:t> nombre de références</w:t>
            </w:r>
          </w:p>
        </w:tc>
        <w:tc>
          <w:tcPr>
            <w:tcW w:w="27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432FE99" w14:textId="77777777" w:rsidR="005D07A6" w:rsidRDefault="00F42774">
            <w:pPr>
              <w:pStyle w:val="TA1"/>
              <w:jc w:val="center"/>
              <w:rPr>
                <w:rFonts w:eastAsiaTheme="minorEastAsia"/>
              </w:rPr>
            </w:pPr>
            <w:r>
              <w:rPr>
                <w:b/>
                <w:bCs/>
              </w:rPr>
              <w:t>Nombre de moteurs</w:t>
            </w:r>
          </w:p>
        </w:tc>
        <w:tc>
          <w:tcPr>
            <w:tcW w:w="27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35E1405" w14:textId="77777777" w:rsidR="005D07A6" w:rsidRDefault="00F42774">
            <w:pPr>
              <w:pStyle w:val="TA1"/>
              <w:jc w:val="center"/>
              <w:rPr>
                <w:rFonts w:eastAsiaTheme="minorEastAsia"/>
              </w:rPr>
            </w:pPr>
            <w:r>
              <w:rPr>
                <w:b/>
                <w:bCs/>
              </w:rPr>
              <w:t>Nombre d’heures de MOD</w:t>
            </w:r>
          </w:p>
        </w:tc>
        <w:tc>
          <w:tcPr>
            <w:tcW w:w="27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B32AE87" w14:textId="77777777" w:rsidR="005D07A6" w:rsidRDefault="00F42774">
            <w:pPr>
              <w:pStyle w:val="TA1"/>
              <w:jc w:val="center"/>
              <w:rPr>
                <w:rFonts w:eastAsiaTheme="minorEastAsia"/>
              </w:rPr>
            </w:pPr>
            <w:r>
              <w:rPr>
                <w:b/>
                <w:bCs/>
              </w:rPr>
              <w:t>Nombre de lots</w:t>
            </w:r>
          </w:p>
        </w:tc>
        <w:tc>
          <w:tcPr>
            <w:tcW w:w="34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25E390E" w14:textId="77777777" w:rsidR="005D07A6" w:rsidRDefault="00F42774">
            <w:pPr>
              <w:pStyle w:val="TA1"/>
              <w:jc w:val="center"/>
              <w:rPr>
                <w:rFonts w:eastAsiaTheme="minorEastAsia"/>
              </w:rPr>
            </w:pPr>
            <w:r>
              <w:rPr>
                <w:b/>
                <w:bCs/>
              </w:rPr>
              <w:t>Temps d’utilisation des machines</w:t>
            </w:r>
          </w:p>
        </w:tc>
        <w:tc>
          <w:tcPr>
            <w:tcW w:w="27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3BF708D" w14:textId="77777777" w:rsidR="005D07A6" w:rsidRDefault="00F42774">
            <w:pPr>
              <w:pStyle w:val="TA1"/>
              <w:jc w:val="center"/>
              <w:rPr>
                <w:rFonts w:eastAsiaTheme="minorEastAsia"/>
              </w:rPr>
            </w:pPr>
            <w:r>
              <w:rPr>
                <w:b/>
                <w:bCs/>
              </w:rPr>
              <w:t>Nombre de clients</w:t>
            </w:r>
          </w:p>
        </w:tc>
        <w:tc>
          <w:tcPr>
            <w:tcW w:w="34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24DC059" w14:textId="77777777" w:rsidR="005D07A6" w:rsidRDefault="00F42774">
            <w:pPr>
              <w:pStyle w:val="TA1"/>
              <w:jc w:val="center"/>
              <w:rPr>
                <w:rFonts w:eastAsiaTheme="minorEastAsia"/>
              </w:rPr>
            </w:pPr>
            <w:r>
              <w:rPr>
                <w:b/>
                <w:bCs/>
              </w:rPr>
              <w:t>Nombre de produits vendus</w:t>
            </w:r>
          </w:p>
        </w:tc>
      </w:tr>
      <w:tr w:rsidR="005D07A6" w14:paraId="4B0FA817"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69A9DAE" w14:textId="77777777" w:rsidR="005D07A6" w:rsidRDefault="00F42774">
            <w:pPr>
              <w:pStyle w:val="TA1"/>
              <w:rPr>
                <w:rFonts w:eastAsiaTheme="minorEastAsia"/>
              </w:rPr>
            </w:pPr>
            <w:r>
              <w:t>Recrutement</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4A008F0"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A8381CF" w14:textId="77777777" w:rsidR="005D07A6" w:rsidRDefault="00F42774">
            <w:pPr>
              <w:pStyle w:val="TA1"/>
              <w:jc w:val="center"/>
              <w:rPr>
                <w:rFonts w:eastAsiaTheme="minorEastAsia"/>
              </w:rPr>
            </w:pPr>
            <w:r>
              <w:t>X</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2179286" w14:textId="77777777" w:rsidR="005D07A6" w:rsidRDefault="00F42774">
            <w:pPr>
              <w:pStyle w:val="TA1"/>
              <w:jc w:val="center"/>
              <w:rPr>
                <w:rFonts w:eastAsiaTheme="minorEastAsia"/>
              </w:rPr>
            </w:pPr>
            <w:r>
              <w:t>X</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D5D24F4"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95F6B4C"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CA42776"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08AC670"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6EB982C"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7398F99"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646C297"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3A3E4D0"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18DBDC1"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5B565CF" w14:textId="77777777" w:rsidR="005D07A6" w:rsidRDefault="005D07A6"/>
        </w:tc>
      </w:tr>
      <w:tr w:rsidR="005D07A6" w14:paraId="0BA94DDD"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2B057CB" w14:textId="77777777" w:rsidR="005D07A6" w:rsidRDefault="00F42774">
            <w:pPr>
              <w:pStyle w:val="TA1"/>
              <w:rPr>
                <w:rFonts w:eastAsiaTheme="minorEastAsia"/>
              </w:rPr>
            </w:pPr>
            <w:r>
              <w:t>Formation</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224CDA1" w14:textId="77777777" w:rsidR="005D07A6" w:rsidRDefault="00F42774">
            <w:pPr>
              <w:pStyle w:val="TA1"/>
              <w:jc w:val="center"/>
              <w:rPr>
                <w:rFonts w:eastAsiaTheme="minorEastAsia"/>
              </w:rPr>
            </w:pPr>
            <w:r>
              <w:t>X</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8F16CE2"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0EAFA4F"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1918B3C"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7972AE1"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D54C86B"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899652D"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FCB1A94"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DC7988D"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D342B91"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5784B6B"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2F2175E"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C7766A2" w14:textId="77777777" w:rsidR="005D07A6" w:rsidRDefault="005D07A6"/>
        </w:tc>
      </w:tr>
      <w:tr w:rsidR="005D07A6" w14:paraId="254CFDAF"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91CD83F" w14:textId="77777777" w:rsidR="005D07A6" w:rsidRDefault="00F42774">
            <w:pPr>
              <w:pStyle w:val="TA1"/>
              <w:rPr>
                <w:rFonts w:eastAsiaTheme="minorEastAsia"/>
              </w:rPr>
            </w:pPr>
            <w:r>
              <w:t>Relations avec les salariés</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2A0D53B"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F212B73" w14:textId="77777777" w:rsidR="005D07A6" w:rsidRDefault="00F42774">
            <w:pPr>
              <w:pStyle w:val="TA1"/>
              <w:jc w:val="center"/>
              <w:rPr>
                <w:rFonts w:eastAsiaTheme="minorEastAsia"/>
              </w:rPr>
            </w:pPr>
            <w:r>
              <w:t>X</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68CADA6" w14:textId="77777777" w:rsidR="005D07A6" w:rsidRDefault="00F42774">
            <w:pPr>
              <w:pStyle w:val="TA1"/>
              <w:jc w:val="center"/>
              <w:rPr>
                <w:rFonts w:eastAsiaTheme="minorEastAsia"/>
              </w:rPr>
            </w:pPr>
            <w:r>
              <w:t>X</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DEE8F1A"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3F48B18"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7890FD4"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0311860"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680E4FB"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9DD3D4F"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785EE84"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81C3099"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C810D9D"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DF40412" w14:textId="77777777" w:rsidR="005D07A6" w:rsidRDefault="005D07A6"/>
        </w:tc>
      </w:tr>
      <w:tr w:rsidR="005D07A6" w14:paraId="79FCB2A9"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5ACDF92" w14:textId="77777777" w:rsidR="005D07A6" w:rsidRDefault="00F42774">
            <w:pPr>
              <w:pStyle w:val="TA1"/>
              <w:rPr>
                <w:rFonts w:eastAsiaTheme="minorEastAsia"/>
              </w:rPr>
            </w:pPr>
            <w:r>
              <w:t>Administration des RH</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40991F9"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E31BE33" w14:textId="77777777" w:rsidR="005D07A6" w:rsidRDefault="00F42774">
            <w:pPr>
              <w:pStyle w:val="TA1"/>
              <w:jc w:val="center"/>
              <w:rPr>
                <w:rFonts w:eastAsiaTheme="minorEastAsia"/>
              </w:rPr>
            </w:pPr>
            <w:r>
              <w:t>X</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55A5B9A"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679222D"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020DC50"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7B092DF"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BFF5C7D"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E8BFB54"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B35B023"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5B31AD6"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31961B4"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FC607AF"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B21C7DA" w14:textId="77777777" w:rsidR="005D07A6" w:rsidRDefault="005D07A6"/>
        </w:tc>
      </w:tr>
      <w:tr w:rsidR="005D07A6" w14:paraId="180E084C"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E5EEDA2" w14:textId="77777777" w:rsidR="005D07A6" w:rsidRDefault="00F42774">
            <w:pPr>
              <w:pStyle w:val="TA1"/>
              <w:rPr>
                <w:rFonts w:eastAsiaTheme="minorEastAsia"/>
              </w:rPr>
            </w:pPr>
            <w:r>
              <w:t>Secrétariat général</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ACF63F3"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13A441C"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353B00E" w14:textId="77777777" w:rsidR="005D07A6" w:rsidRDefault="00F42774">
            <w:pPr>
              <w:pStyle w:val="TA1"/>
              <w:jc w:val="center"/>
              <w:rPr>
                <w:rFonts w:eastAsiaTheme="minorEastAsia"/>
              </w:rPr>
            </w:pPr>
            <w:r>
              <w:t>X</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C95C04F"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7FF6B85"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CCCAF78"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3748CD9"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94C3D38"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CD565C2"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1ADAA34"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E6767DA"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00803AA"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E817910" w14:textId="77777777" w:rsidR="005D07A6" w:rsidRDefault="005D07A6"/>
        </w:tc>
      </w:tr>
      <w:tr w:rsidR="005D07A6" w14:paraId="3013B7CB"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D6108E6" w14:textId="77777777" w:rsidR="005D07A6" w:rsidRDefault="00F42774">
            <w:pPr>
              <w:pStyle w:val="TA1"/>
              <w:rPr>
                <w:rFonts w:eastAsiaTheme="minorEastAsia"/>
              </w:rPr>
            </w:pPr>
            <w:r>
              <w:t>Nettoyage des locaux</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E9F4FB9"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0C242E7"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78D5177"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37B08E4" w14:textId="77777777" w:rsidR="005D07A6" w:rsidRDefault="00F42774">
            <w:pPr>
              <w:pStyle w:val="TA1"/>
              <w:jc w:val="center"/>
              <w:rPr>
                <w:rFonts w:eastAsiaTheme="minorEastAsia"/>
              </w:rPr>
            </w:pPr>
            <w:r>
              <w:t>X</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210DCC8"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BF2C936"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C1DED50"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32607F4"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50BF913"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75F3B25"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B6CF459"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DE6E87A"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E716A9D" w14:textId="77777777" w:rsidR="005D07A6" w:rsidRDefault="005D07A6"/>
        </w:tc>
      </w:tr>
      <w:tr w:rsidR="005D07A6" w14:paraId="18A90B70"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F7EA768" w14:textId="77777777" w:rsidR="005D07A6" w:rsidRDefault="00F42774">
            <w:pPr>
              <w:pStyle w:val="TA1"/>
              <w:rPr>
                <w:rFonts w:eastAsiaTheme="minorEastAsia"/>
              </w:rPr>
            </w:pPr>
            <w:r>
              <w:t>Comptabilité</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8E9379E"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6078588"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99AAA24" w14:textId="77777777" w:rsidR="005D07A6" w:rsidRDefault="00F42774">
            <w:pPr>
              <w:pStyle w:val="TA1"/>
              <w:jc w:val="center"/>
              <w:rPr>
                <w:rFonts w:eastAsiaTheme="minorEastAsia"/>
              </w:rPr>
            </w:pPr>
            <w:r>
              <w:t>X</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D7E0AF5"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77737B6"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3A131BC"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9FDD36F"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9A536DF"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236D1EB"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C1FF418"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0E420C1"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AC92C08"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2AB1749" w14:textId="77777777" w:rsidR="005D07A6" w:rsidRDefault="005D07A6"/>
        </w:tc>
      </w:tr>
      <w:tr w:rsidR="005D07A6" w14:paraId="33DB43D8"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82878D8" w14:textId="77777777" w:rsidR="005D07A6" w:rsidRDefault="00F42774">
            <w:pPr>
              <w:pStyle w:val="TA1"/>
              <w:rPr>
                <w:rFonts w:eastAsiaTheme="minorEastAsia"/>
              </w:rPr>
            </w:pPr>
            <w:r>
              <w:t>Veille fournisseurs</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3B0AFF1"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C5A703E"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490BD22"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FB4AD8C"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172B8C9" w14:textId="77777777" w:rsidR="005D07A6" w:rsidRDefault="00F42774">
            <w:pPr>
              <w:pStyle w:val="TA1"/>
              <w:jc w:val="center"/>
              <w:rPr>
                <w:rFonts w:eastAsiaTheme="minorEastAsia"/>
              </w:rPr>
            </w:pPr>
            <w:r>
              <w:t>X</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927EA90"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B5E4D3C"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BC5D61B"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FB3A571"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9DEE5E0"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72585BC"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5886274"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C35B7DB" w14:textId="77777777" w:rsidR="005D07A6" w:rsidRDefault="005D07A6"/>
        </w:tc>
      </w:tr>
      <w:tr w:rsidR="005D07A6" w14:paraId="7F03A2E4"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DC695E6" w14:textId="77777777" w:rsidR="005D07A6" w:rsidRDefault="00F42774">
            <w:pPr>
              <w:pStyle w:val="TA1"/>
              <w:rPr>
                <w:rFonts w:eastAsiaTheme="minorEastAsia"/>
              </w:rPr>
            </w:pPr>
            <w:r>
              <w:t>Passation des commandes</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6718FFE"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DADCB6F"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F6211BA"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04EF372"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FDE454F" w14:textId="77777777" w:rsidR="005D07A6" w:rsidRDefault="00F42774">
            <w:pPr>
              <w:pStyle w:val="TA1"/>
              <w:jc w:val="center"/>
              <w:rPr>
                <w:rFonts w:eastAsiaTheme="minorEastAsia"/>
              </w:rPr>
            </w:pPr>
            <w:r>
              <w:t>XX</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D15F34B" w14:textId="77777777" w:rsidR="005D07A6" w:rsidRDefault="00F42774">
            <w:pPr>
              <w:pStyle w:val="TA1"/>
              <w:jc w:val="center"/>
              <w:rPr>
                <w:rFonts w:eastAsiaTheme="minorEastAsia"/>
              </w:rPr>
            </w:pPr>
            <w:r>
              <w:t>X</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E234702"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A67EB7F"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FC243D4"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AB0C394"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A4BDB02"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B1DB831"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E2FE8D3" w14:textId="77777777" w:rsidR="005D07A6" w:rsidRDefault="005D07A6"/>
        </w:tc>
      </w:tr>
      <w:tr w:rsidR="005D07A6" w14:paraId="77A3ADD5"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98D0687" w14:textId="77777777" w:rsidR="005D07A6" w:rsidRDefault="00F42774">
            <w:pPr>
              <w:pStyle w:val="TA1"/>
              <w:rPr>
                <w:rFonts w:eastAsiaTheme="minorEastAsia"/>
              </w:rPr>
            </w:pPr>
            <w:r>
              <w:t>Réception et manutention</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2405311"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8BF8DD7"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7B142B4"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658C5D0"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6A98EE9" w14:textId="77777777" w:rsidR="005D07A6" w:rsidRDefault="00F42774">
            <w:pPr>
              <w:pStyle w:val="TA1"/>
              <w:jc w:val="center"/>
              <w:rPr>
                <w:rFonts w:eastAsiaTheme="minorEastAsia"/>
              </w:rPr>
            </w:pPr>
            <w:r>
              <w:t>X</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1DC4C06"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B5D51AF" w14:textId="77777777" w:rsidR="005D07A6" w:rsidRDefault="00F42774">
            <w:pPr>
              <w:pStyle w:val="TA1"/>
              <w:jc w:val="center"/>
              <w:rPr>
                <w:rFonts w:eastAsiaTheme="minorEastAsia"/>
              </w:rPr>
            </w:pPr>
            <w:r>
              <w:t>XX</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6134F57"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DD768E2"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BDFB3B7"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FFE5902"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BA98049"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0AB5333" w14:textId="77777777" w:rsidR="005D07A6" w:rsidRDefault="005D07A6"/>
        </w:tc>
      </w:tr>
      <w:tr w:rsidR="005D07A6" w14:paraId="6ECFD90E"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D50AA34" w14:textId="77777777" w:rsidR="005D07A6" w:rsidRDefault="00F42774">
            <w:pPr>
              <w:pStyle w:val="TA1"/>
              <w:rPr>
                <w:rFonts w:eastAsiaTheme="minorEastAsia"/>
              </w:rPr>
            </w:pPr>
            <w:r>
              <w:t>Développement</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A9E8765"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EBD2D39"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A7C9D2E"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9A6AD67"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A570B07"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84EF7BD"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882F296"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2A15809" w14:textId="77777777" w:rsidR="005D07A6" w:rsidRDefault="00F42774">
            <w:pPr>
              <w:pStyle w:val="TA1"/>
              <w:jc w:val="center"/>
              <w:rPr>
                <w:rFonts w:eastAsiaTheme="minorEastAsia"/>
              </w:rPr>
            </w:pPr>
            <w:r>
              <w:t>X</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2BB0832"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C361F1C"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35467CF"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81F3EF2"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1BEC671" w14:textId="77777777" w:rsidR="005D07A6" w:rsidRDefault="005D07A6"/>
        </w:tc>
      </w:tr>
      <w:tr w:rsidR="005D07A6" w14:paraId="1F6455EF"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6C6DF87" w14:textId="77777777" w:rsidR="005D07A6" w:rsidRDefault="00F42774">
            <w:pPr>
              <w:pStyle w:val="TA1"/>
              <w:rPr>
                <w:rFonts w:eastAsiaTheme="minorEastAsia"/>
              </w:rPr>
            </w:pPr>
            <w:r>
              <w:t>Usinage (réglages)</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67A182F"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4FE8A42"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40ACEE3"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DAF83D4"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16119AF" w14:textId="77777777" w:rsidR="005D07A6" w:rsidRDefault="00F42774">
            <w:pPr>
              <w:pStyle w:val="TA1"/>
              <w:jc w:val="center"/>
              <w:rPr>
                <w:rFonts w:eastAsiaTheme="minorEastAsia"/>
              </w:rPr>
            </w:pPr>
            <w:r>
              <w:t>X</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52314DB"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DE3FDEE"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E9194A3"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20010C0"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78F5FEE"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260008E"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8023248"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74FE72D" w14:textId="77777777" w:rsidR="005D07A6" w:rsidRDefault="005D07A6"/>
        </w:tc>
      </w:tr>
      <w:tr w:rsidR="005D07A6" w14:paraId="360DC353"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7416838" w14:textId="77777777" w:rsidR="005D07A6" w:rsidRDefault="00F42774">
            <w:pPr>
              <w:pStyle w:val="TA1"/>
              <w:rPr>
                <w:rFonts w:eastAsiaTheme="minorEastAsia"/>
              </w:rPr>
            </w:pPr>
            <w:r>
              <w:t>Usinage (production)</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348279A"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2241112"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CAF9604"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71ACCF4"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A357AA4"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0AEC2CB"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B7397B9"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C9073F7"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CBDA9F7"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32E3D66" w14:textId="77777777" w:rsidR="005D07A6" w:rsidRDefault="00F42774">
            <w:pPr>
              <w:pStyle w:val="TA1"/>
              <w:jc w:val="center"/>
              <w:rPr>
                <w:rFonts w:eastAsiaTheme="minorEastAsia"/>
              </w:rPr>
            </w:pPr>
            <w:r>
              <w:t>X</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FF655A2"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8401120"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CDDDA56" w14:textId="77777777" w:rsidR="005D07A6" w:rsidRDefault="005D07A6"/>
        </w:tc>
      </w:tr>
      <w:tr w:rsidR="005D07A6" w14:paraId="43DE82DC"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90B15D4" w14:textId="77777777" w:rsidR="005D07A6" w:rsidRDefault="00F42774">
            <w:pPr>
              <w:pStyle w:val="TA1"/>
              <w:rPr>
                <w:rFonts w:eastAsiaTheme="minorEastAsia"/>
              </w:rPr>
            </w:pPr>
            <w:r>
              <w:t>Montage</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9513537"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B735898"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31AA25A"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FD31616"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0031717"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199CA09"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3E89EB3"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E1D144A"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CA03DDD" w14:textId="77777777" w:rsidR="005D07A6" w:rsidRDefault="00F42774">
            <w:pPr>
              <w:pStyle w:val="TA1"/>
              <w:jc w:val="center"/>
              <w:rPr>
                <w:rFonts w:eastAsiaTheme="minorEastAsia"/>
              </w:rPr>
            </w:pPr>
            <w:r>
              <w:t>X</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A721F1A"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71FFDCA"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15803F4"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89C6BC1" w14:textId="77777777" w:rsidR="005D07A6" w:rsidRDefault="005D07A6"/>
        </w:tc>
      </w:tr>
      <w:tr w:rsidR="005D07A6" w14:paraId="10C05C89"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A4F1128" w14:textId="77777777" w:rsidR="005D07A6" w:rsidRDefault="00F42774">
            <w:pPr>
              <w:pStyle w:val="TA1"/>
              <w:rPr>
                <w:rFonts w:eastAsiaTheme="minorEastAsia"/>
              </w:rPr>
            </w:pPr>
            <w:r>
              <w:t>Contrôle</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6520033"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2DE881C"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E185D02"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7B4F078"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379DDCC"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53EA969"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FF5F3DE"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9995381"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A255D1F"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6723F42" w14:textId="77777777" w:rsidR="005D07A6" w:rsidRDefault="00F42774">
            <w:pPr>
              <w:pStyle w:val="TA1"/>
              <w:jc w:val="center"/>
              <w:rPr>
                <w:rFonts w:eastAsiaTheme="minorEastAsia"/>
              </w:rPr>
            </w:pPr>
            <w:r>
              <w:t>X</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7F1AE61"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DBB8C30"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EFDFC2F" w14:textId="77777777" w:rsidR="005D07A6" w:rsidRDefault="005D07A6"/>
        </w:tc>
      </w:tr>
      <w:tr w:rsidR="005D07A6" w14:paraId="4813F2A7"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EAAB5DB" w14:textId="77777777" w:rsidR="005D07A6" w:rsidRDefault="00F42774">
            <w:pPr>
              <w:pStyle w:val="TA1"/>
              <w:rPr>
                <w:rFonts w:eastAsiaTheme="minorEastAsia"/>
              </w:rPr>
            </w:pPr>
            <w:r>
              <w:t>Entretien préventif</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60F7457"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9EF0906"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239CF5F"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ED53F15"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5E20517"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AE9EB97"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AFFEE74"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76B8F84"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46D7759"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688543E" w14:textId="77777777" w:rsidR="005D07A6" w:rsidRDefault="00F42774">
            <w:pPr>
              <w:pStyle w:val="TA1"/>
              <w:jc w:val="center"/>
              <w:rPr>
                <w:rFonts w:eastAsiaTheme="minorEastAsia"/>
              </w:rPr>
            </w:pPr>
            <w:r>
              <w:t>X</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714B03A"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FB99BE0"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E9DD57D" w14:textId="77777777" w:rsidR="005D07A6" w:rsidRDefault="005D07A6"/>
        </w:tc>
      </w:tr>
      <w:tr w:rsidR="005D07A6" w14:paraId="23CD12E8"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050CD21" w14:textId="77777777" w:rsidR="005D07A6" w:rsidRDefault="00F42774">
            <w:pPr>
              <w:pStyle w:val="TA1"/>
              <w:rPr>
                <w:rFonts w:eastAsiaTheme="minorEastAsia"/>
              </w:rPr>
            </w:pPr>
            <w:r>
              <w:t>Réparations</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6DA4A5E"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F64011E"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A8BB73D"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D0162BF"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9360D15"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9A0B459"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5338C60"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59D3B1C"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BF15ACA"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534EB5E"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A367C3F" w14:textId="77777777" w:rsidR="005D07A6" w:rsidRDefault="00F42774">
            <w:pPr>
              <w:pStyle w:val="TA1"/>
              <w:jc w:val="center"/>
              <w:rPr>
                <w:rFonts w:eastAsiaTheme="minorEastAsia"/>
              </w:rPr>
            </w:pPr>
            <w:r>
              <w:t>X</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749438B"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0B1105B" w14:textId="77777777" w:rsidR="005D07A6" w:rsidRDefault="005D07A6"/>
        </w:tc>
      </w:tr>
      <w:tr w:rsidR="005D07A6" w14:paraId="68A51DFE"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D5B0954" w14:textId="77777777" w:rsidR="005D07A6" w:rsidRDefault="00F42774">
            <w:pPr>
              <w:pStyle w:val="TA1"/>
              <w:rPr>
                <w:rFonts w:eastAsiaTheme="minorEastAsia"/>
              </w:rPr>
            </w:pPr>
            <w:r>
              <w:t>Ventes</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8819F96"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FD42B4D"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98DF720"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64E4B69"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4AFCB3E"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714EA08"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8630CF2"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AF48A2A"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2653676"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FE73878"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46E00C7"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B209A12" w14:textId="77777777" w:rsidR="005D07A6" w:rsidRDefault="00F42774">
            <w:pPr>
              <w:pStyle w:val="TA1"/>
              <w:jc w:val="center"/>
              <w:rPr>
                <w:rFonts w:eastAsiaTheme="minorEastAsia"/>
              </w:rPr>
            </w:pPr>
            <w:r>
              <w:t>XX</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CC3A531" w14:textId="77777777" w:rsidR="005D07A6" w:rsidRDefault="00F42774">
            <w:pPr>
              <w:pStyle w:val="TA1"/>
              <w:jc w:val="center"/>
              <w:rPr>
                <w:rFonts w:eastAsiaTheme="minorEastAsia"/>
              </w:rPr>
            </w:pPr>
            <w:r>
              <w:t>X</w:t>
            </w:r>
          </w:p>
        </w:tc>
      </w:tr>
      <w:tr w:rsidR="005D07A6" w14:paraId="7E5CB4FA"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17C8745" w14:textId="77777777" w:rsidR="005D07A6" w:rsidRDefault="00F42774">
            <w:pPr>
              <w:pStyle w:val="TA1"/>
              <w:rPr>
                <w:rFonts w:eastAsiaTheme="minorEastAsia"/>
              </w:rPr>
            </w:pPr>
            <w:r>
              <w:t>Promotion des ventes</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15E2E6B"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5279C3B"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BA169B5"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A6142A3"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04620AF"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D60BFA0"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3A44641"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027D906" w14:textId="77777777" w:rsidR="005D07A6" w:rsidRDefault="00F42774">
            <w:pPr>
              <w:pStyle w:val="TA1"/>
              <w:jc w:val="center"/>
              <w:rPr>
                <w:rFonts w:eastAsiaTheme="minorEastAsia"/>
              </w:rPr>
            </w:pPr>
            <w:r>
              <w:t>X</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3BD7181"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5B82FCB"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60E2EA1"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91F8C96"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A6135DF" w14:textId="77777777" w:rsidR="005D07A6" w:rsidRDefault="005D07A6"/>
        </w:tc>
      </w:tr>
      <w:tr w:rsidR="005D07A6" w14:paraId="18D9BDFD"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597DC85" w14:textId="77777777" w:rsidR="005D07A6" w:rsidRDefault="00F42774">
            <w:pPr>
              <w:pStyle w:val="TA1"/>
              <w:rPr>
                <w:rFonts w:eastAsiaTheme="minorEastAsia"/>
              </w:rPr>
            </w:pPr>
            <w:r>
              <w:t>Suivi des clients</w:t>
            </w:r>
          </w:p>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DF3C456"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BC01845"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36FE0D0"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6106BED"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F0906D7"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858323B"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A8BF041"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58CB9E3"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2C43639"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C60ECD2"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D69EC0A" w14:textId="77777777" w:rsidR="005D07A6" w:rsidRDefault="005D07A6"/>
        </w:tc>
        <w:tc>
          <w:tcPr>
            <w:tcW w:w="2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390F482" w14:textId="77777777" w:rsidR="005D07A6" w:rsidRDefault="00F42774">
            <w:pPr>
              <w:pStyle w:val="TA1"/>
              <w:jc w:val="center"/>
              <w:rPr>
                <w:rFonts w:eastAsiaTheme="minorEastAsia"/>
              </w:rPr>
            </w:pPr>
            <w:r>
              <w:t>X</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B00CD88" w14:textId="77777777" w:rsidR="005D07A6" w:rsidRDefault="005D07A6"/>
        </w:tc>
      </w:tr>
    </w:tbl>
    <w:p w14:paraId="745A55D1" w14:textId="77777777" w:rsidR="005D07A6" w:rsidRDefault="00F42774">
      <w:pPr>
        <w:pStyle w:val="finfiletr"/>
        <w:rPr>
          <w:rFonts w:eastAsiaTheme="minorEastAsia"/>
        </w:rPr>
      </w:pPr>
      <w:r>
        <w:t>Fin Application</w:t>
      </w:r>
    </w:p>
    <w:p w14:paraId="489B3AFF" w14:textId="77777777" w:rsidR="005D07A6" w:rsidRDefault="00F42774">
      <w:pPr>
        <w:pStyle w:val="T3"/>
      </w:pPr>
      <w:r>
        <w:t>section 2.</w:t>
      </w:r>
      <w:r>
        <w:tab/>
        <w:t>La simplification de la carte et le regroupement des activités par inducteur</w:t>
      </w:r>
    </w:p>
    <w:p w14:paraId="06331D16" w14:textId="77777777" w:rsidR="005D07A6" w:rsidRDefault="00F42774">
      <w:pPr>
        <w:pStyle w:val="CT"/>
      </w:pPr>
      <w:r>
        <w:lastRenderedPageBreak/>
        <w:t>L’analyse des processus et les entretiens auprès des opérationnels conduisent donc à la réalisation d’une carte des activités, qui est généralement une représentation complexe de l’entreprise. Elle peut alors présenter deux inconvénients majeurs : coût de maintenance et de traitement, et surtout un affichage peu clair des messages à faire passer. Le recensement des activités conduit généralement à des simplifications :</w:t>
      </w:r>
    </w:p>
    <w:p w14:paraId="71EF7D4D" w14:textId="77777777" w:rsidR="005D07A6" w:rsidRDefault="00F42774">
      <w:pPr>
        <w:pStyle w:val="ET"/>
      </w:pPr>
      <w:r>
        <w:t>élimination des activités peu consommatrices de ressources et qui participent faiblement à la création de valeur ;</w:t>
      </w:r>
    </w:p>
    <w:p w14:paraId="0BA6E88A" w14:textId="77777777" w:rsidR="005D07A6" w:rsidRDefault="00F42774">
      <w:pPr>
        <w:pStyle w:val="ET"/>
      </w:pPr>
      <w:r>
        <w:t>regroupement des activités par facteurs de causalité : quand plusieurs activités ont le même inducteur, elles sont regroupées dans des centres de regroupement.</w:t>
      </w:r>
    </w:p>
    <w:p w14:paraId="1D33A976" w14:textId="77777777" w:rsidR="005D07A6" w:rsidRDefault="00F42774">
      <w:pPr>
        <w:pStyle w:val="CT"/>
      </w:pPr>
      <w:r>
        <w:t>Dans la pratique, il n’est pas rare que le contrôleur de gestion hésite entre plusieurs inducteurs pour la même activité, de la même manière qu’il pouvait hésiter entre plusieurs unités d’œuvres pour le même centre d’analyse. On retombe alors sur le problème classique du choix de la clé de répartition. Trois solutions sont alors possibles :</w:t>
      </w:r>
    </w:p>
    <w:p w14:paraId="61F8D79A" w14:textId="77777777" w:rsidR="005D07A6" w:rsidRDefault="00F42774">
      <w:pPr>
        <w:pStyle w:val="ET"/>
      </w:pPr>
      <w:r>
        <w:rPr>
          <w:b/>
          <w:bCs/>
        </w:rPr>
        <w:t>1.</w:t>
      </w:r>
      <w:r>
        <w:t> lorsqu’il y a hésitation, c’est sans doute que l’activité n’est pas homogène. Une démarche puriste devrait donc conduire le contrôleur de gestion à subdiviser l’activité en sous-activités homogènes. Mais cette subdivision à l’infini, si elle conduit à un calcul plus proche de la réalité qu’il veut décrire, mène rapidement à la construction de véritables usines à gaz, car on multiplie ainsi les calculs ;</w:t>
      </w:r>
    </w:p>
    <w:p w14:paraId="22741094" w14:textId="77777777" w:rsidR="005D07A6" w:rsidRDefault="00F42774">
      <w:pPr>
        <w:pStyle w:val="ET"/>
      </w:pPr>
      <w:r>
        <w:rPr>
          <w:b/>
          <w:bCs/>
        </w:rPr>
        <w:t>2.</w:t>
      </w:r>
      <w:r>
        <w:t> il est aussi possible de ne retenir que l’inducteur qui décrit le mieux la consommation du centre. Ce choix peut se faire d’après des informations collectées sur place afin de comprendre comment fonctionne l’activité. Si l’on dispose d’un historique des charges indirectes de l’activité, et d’un historique du niveau d’activité mesuré par les inducteurs concurrents, il est possible de calculer le coefficient de corrélation afin de retenir l’inducteur dont le coefficient est le plus proche de 1 ;</w:t>
      </w:r>
    </w:p>
    <w:p w14:paraId="59ACCB3E" w14:textId="77777777" w:rsidR="005D07A6" w:rsidRDefault="00F42774">
      <w:pPr>
        <w:pStyle w:val="ET"/>
      </w:pPr>
      <w:r>
        <w:rPr>
          <w:b/>
          <w:bCs/>
        </w:rPr>
        <w:t>3.</w:t>
      </w:r>
      <w:r>
        <w:t> enfin, de manière plus pragmatique, on peut choisir les inducteurs de manière à simplifier les calculs, et donc en privilégiant les inducteurs communs à plusieurs activités.</w:t>
      </w:r>
    </w:p>
    <w:p w14:paraId="54FDDC51" w14:textId="77777777" w:rsidR="005D07A6" w:rsidRDefault="00F42774">
      <w:pPr>
        <w:pStyle w:val="debutfiletr"/>
      </w:pPr>
      <w:r>
        <w:t>Application _n-13_Suite</w:t>
      </w:r>
    </w:p>
    <w:p w14:paraId="29FA049E" w14:textId="77777777" w:rsidR="005D07A6" w:rsidRDefault="00F42774">
      <w:pPr>
        <w:pStyle w:val="CT"/>
      </w:pPr>
      <w:r>
        <w:t>L’entreprise NSEG hésite entre deux inducteurs de coût pour mesurer l’activité « passation des commandes » : le nombre de fournisseurs et le nombre de composants achetés.</w:t>
      </w:r>
    </w:p>
    <w:tbl>
      <w:tblPr>
        <w:tblW w:w="7603" w:type="dxa"/>
        <w:tblInd w:w="1701" w:type="dxa"/>
        <w:tblLook w:val="04A0" w:firstRow="1" w:lastRow="0" w:firstColumn="1" w:lastColumn="0" w:noHBand="0" w:noVBand="1"/>
      </w:tblPr>
      <w:tblGrid>
        <w:gridCol w:w="1716"/>
        <w:gridCol w:w="1622"/>
        <w:gridCol w:w="1587"/>
        <w:gridCol w:w="1408"/>
        <w:gridCol w:w="1270"/>
      </w:tblGrid>
      <w:tr w:rsidR="005D07A6" w14:paraId="3644A8AB" w14:textId="77777777">
        <w:tc>
          <w:tcPr>
            <w:tcW w:w="1440" w:type="dxa"/>
            <w:tcBorders>
              <w:top w:val="nil"/>
              <w:left w:val="nil"/>
              <w:bottom w:val="single" w:sz="4" w:space="0" w:color="auto"/>
              <w:right w:val="single" w:sz="4" w:space="0" w:color="auto"/>
            </w:tcBorders>
            <w:tcMar>
              <w:top w:w="0" w:type="dxa"/>
              <w:left w:w="2" w:type="dxa"/>
              <w:bottom w:w="0" w:type="dxa"/>
              <w:right w:w="2" w:type="dxa"/>
            </w:tcMar>
            <w:hideMark/>
          </w:tcPr>
          <w:p w14:paraId="778FD82B" w14:textId="77777777" w:rsidR="005D07A6" w:rsidRDefault="005D07A6"/>
        </w:tc>
        <w:tc>
          <w:tcPr>
            <w:tcW w:w="106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464E15B" w14:textId="77777777" w:rsidR="005D07A6" w:rsidRDefault="00F42774">
            <w:pPr>
              <w:pStyle w:val="TA1"/>
              <w:jc w:val="center"/>
              <w:rPr>
                <w:rFonts w:eastAsiaTheme="minorEastAsia"/>
              </w:rPr>
            </w:pPr>
            <w:r>
              <w:rPr>
                <w:b/>
                <w:bCs/>
              </w:rPr>
              <w:t xml:space="preserve">Nombre de fournisseurs </w:t>
            </w:r>
            <w:r>
              <w:t>= </w:t>
            </w:r>
            <w:r>
              <w:rPr>
                <w:b/>
                <w:bCs/>
              </w:rPr>
              <w:t>nombre de composants</w:t>
            </w:r>
          </w:p>
        </w:tc>
        <w:tc>
          <w:tcPr>
            <w:tcW w:w="106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D264417" w14:textId="77777777" w:rsidR="005D07A6" w:rsidRDefault="00F42774">
            <w:pPr>
              <w:pStyle w:val="TA1"/>
              <w:jc w:val="center"/>
              <w:rPr>
                <w:rFonts w:eastAsiaTheme="minorEastAsia"/>
              </w:rPr>
            </w:pPr>
            <w:r>
              <w:rPr>
                <w:b/>
                <w:bCs/>
              </w:rPr>
              <w:t>Nombre total de composants achetés</w:t>
            </w:r>
          </w:p>
        </w:tc>
        <w:tc>
          <w:tcPr>
            <w:tcW w:w="106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00EECA4" w14:textId="77777777" w:rsidR="005D07A6" w:rsidRDefault="00F42774">
            <w:pPr>
              <w:pStyle w:val="TA1"/>
              <w:jc w:val="center"/>
              <w:rPr>
                <w:rFonts w:eastAsiaTheme="minorEastAsia"/>
              </w:rPr>
            </w:pPr>
            <w:r>
              <w:rPr>
                <w:b/>
                <w:bCs/>
              </w:rPr>
              <w:t xml:space="preserve">Nombre de livraisons </w:t>
            </w:r>
            <w:r>
              <w:t>= </w:t>
            </w:r>
            <w:r>
              <w:rPr>
                <w:b/>
                <w:bCs/>
              </w:rPr>
              <w:t xml:space="preserve">nombre de lots </w:t>
            </w:r>
            <w:r>
              <w:t>×</w:t>
            </w:r>
            <w:r>
              <w:rPr>
                <w:b/>
                <w:bCs/>
              </w:rPr>
              <w:t> nombre de références</w:t>
            </w:r>
          </w:p>
        </w:tc>
        <w:tc>
          <w:tcPr>
            <w:tcW w:w="106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7991197" w14:textId="77777777" w:rsidR="005D07A6" w:rsidRDefault="00F42774">
            <w:pPr>
              <w:pStyle w:val="TA1"/>
              <w:jc w:val="center"/>
              <w:rPr>
                <w:rFonts w:eastAsiaTheme="minorEastAsia"/>
              </w:rPr>
            </w:pPr>
            <w:r>
              <w:rPr>
                <w:b/>
                <w:bCs/>
              </w:rPr>
              <w:t>Nombre de moteurs</w:t>
            </w:r>
          </w:p>
        </w:tc>
      </w:tr>
      <w:tr w:rsidR="005D07A6" w14:paraId="36C0C712" w14:textId="77777777">
        <w:tc>
          <w:tcPr>
            <w:tcW w:w="144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30787A9" w14:textId="77777777" w:rsidR="005D07A6" w:rsidRDefault="00F42774">
            <w:pPr>
              <w:pStyle w:val="TA1"/>
              <w:rPr>
                <w:rFonts w:eastAsiaTheme="minorEastAsia"/>
              </w:rPr>
            </w:pPr>
            <w:r>
              <w:t>Veille fournisseurs</w:t>
            </w:r>
          </w:p>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2EC0236" w14:textId="77777777" w:rsidR="005D07A6" w:rsidRDefault="00F42774">
            <w:pPr>
              <w:pStyle w:val="TA1"/>
              <w:jc w:val="center"/>
              <w:rPr>
                <w:rFonts w:eastAsiaTheme="minorEastAsia"/>
              </w:rPr>
            </w:pPr>
            <w:r>
              <w:t>X</w:t>
            </w:r>
          </w:p>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31DA4B7" w14:textId="77777777" w:rsidR="005D07A6" w:rsidRDefault="005D07A6"/>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344DBD1" w14:textId="77777777" w:rsidR="005D07A6" w:rsidRDefault="005D07A6"/>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3B1CADF" w14:textId="77777777" w:rsidR="005D07A6" w:rsidRDefault="005D07A6"/>
        </w:tc>
      </w:tr>
      <w:tr w:rsidR="005D07A6" w14:paraId="305135F4" w14:textId="77777777">
        <w:tc>
          <w:tcPr>
            <w:tcW w:w="144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CA1D342" w14:textId="77777777" w:rsidR="005D07A6" w:rsidRDefault="00F42774">
            <w:pPr>
              <w:pStyle w:val="TA1"/>
              <w:rPr>
                <w:rFonts w:eastAsiaTheme="minorEastAsia"/>
              </w:rPr>
            </w:pPr>
            <w:r>
              <w:t>Passation des commandes</w:t>
            </w:r>
          </w:p>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7325D07" w14:textId="77777777" w:rsidR="005D07A6" w:rsidRDefault="00F42774">
            <w:pPr>
              <w:pStyle w:val="TA1"/>
              <w:jc w:val="center"/>
              <w:rPr>
                <w:rFonts w:eastAsiaTheme="minorEastAsia"/>
              </w:rPr>
            </w:pPr>
            <w:r>
              <w:t>XX</w:t>
            </w:r>
          </w:p>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227850C" w14:textId="77777777" w:rsidR="005D07A6" w:rsidRDefault="00F42774">
            <w:pPr>
              <w:pStyle w:val="TA1"/>
              <w:jc w:val="center"/>
              <w:rPr>
                <w:rFonts w:eastAsiaTheme="minorEastAsia"/>
              </w:rPr>
            </w:pPr>
            <w:r>
              <w:t>X</w:t>
            </w:r>
          </w:p>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127FD58" w14:textId="77777777" w:rsidR="005D07A6" w:rsidRDefault="005D07A6"/>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62EE698" w14:textId="77777777" w:rsidR="005D07A6" w:rsidRDefault="005D07A6"/>
        </w:tc>
      </w:tr>
      <w:tr w:rsidR="005D07A6" w14:paraId="7C3CDF11" w14:textId="77777777">
        <w:tc>
          <w:tcPr>
            <w:tcW w:w="144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68F9839" w14:textId="77777777" w:rsidR="005D07A6" w:rsidRDefault="00F42774">
            <w:pPr>
              <w:pStyle w:val="TA1"/>
              <w:rPr>
                <w:rFonts w:eastAsiaTheme="minorEastAsia"/>
              </w:rPr>
            </w:pPr>
            <w:r>
              <w:t>Réception et manutention</w:t>
            </w:r>
          </w:p>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DCFA098" w14:textId="77777777" w:rsidR="005D07A6" w:rsidRDefault="00F42774">
            <w:pPr>
              <w:pStyle w:val="TA1"/>
              <w:jc w:val="center"/>
              <w:rPr>
                <w:rFonts w:eastAsiaTheme="minorEastAsia"/>
              </w:rPr>
            </w:pPr>
            <w:r>
              <w:t>X</w:t>
            </w:r>
          </w:p>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150B18C" w14:textId="77777777" w:rsidR="005D07A6" w:rsidRDefault="005D07A6"/>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FB828E4" w14:textId="77777777" w:rsidR="005D07A6" w:rsidRDefault="00F42774">
            <w:pPr>
              <w:pStyle w:val="TA1"/>
              <w:jc w:val="center"/>
              <w:rPr>
                <w:rFonts w:eastAsiaTheme="minorEastAsia"/>
              </w:rPr>
            </w:pPr>
            <w:r>
              <w:t>XX</w:t>
            </w:r>
          </w:p>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705954A" w14:textId="77777777" w:rsidR="005D07A6" w:rsidRDefault="005D07A6"/>
        </w:tc>
      </w:tr>
      <w:tr w:rsidR="005D07A6" w14:paraId="17C359A4" w14:textId="77777777">
        <w:tc>
          <w:tcPr>
            <w:tcW w:w="144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6468F4E" w14:textId="77777777" w:rsidR="005D07A6" w:rsidRDefault="00F42774">
            <w:pPr>
              <w:pStyle w:val="TA1"/>
              <w:rPr>
                <w:rFonts w:eastAsiaTheme="minorEastAsia"/>
              </w:rPr>
            </w:pPr>
            <w:r>
              <w:t>Développement</w:t>
            </w:r>
          </w:p>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BF46E31" w14:textId="77777777" w:rsidR="005D07A6" w:rsidRDefault="005D07A6"/>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B3412E3" w14:textId="77777777" w:rsidR="005D07A6" w:rsidRDefault="005D07A6"/>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7C55412" w14:textId="77777777" w:rsidR="005D07A6" w:rsidRDefault="005D07A6"/>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8372CEE" w14:textId="77777777" w:rsidR="005D07A6" w:rsidRDefault="00F42774">
            <w:pPr>
              <w:pStyle w:val="TA1"/>
              <w:jc w:val="center"/>
              <w:rPr>
                <w:rFonts w:eastAsiaTheme="minorEastAsia"/>
              </w:rPr>
            </w:pPr>
            <w:r>
              <w:t>X</w:t>
            </w:r>
          </w:p>
        </w:tc>
      </w:tr>
      <w:tr w:rsidR="005D07A6" w14:paraId="4456D011" w14:textId="77777777">
        <w:tc>
          <w:tcPr>
            <w:tcW w:w="144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C529E61" w14:textId="77777777" w:rsidR="005D07A6" w:rsidRDefault="00F42774">
            <w:pPr>
              <w:pStyle w:val="TA1"/>
              <w:rPr>
                <w:rFonts w:eastAsiaTheme="minorEastAsia"/>
              </w:rPr>
            </w:pPr>
            <w:r>
              <w:t>Usinage (réglages)</w:t>
            </w:r>
          </w:p>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892B2C0" w14:textId="77777777" w:rsidR="005D07A6" w:rsidRDefault="00F42774">
            <w:pPr>
              <w:pStyle w:val="TA1"/>
              <w:jc w:val="center"/>
              <w:rPr>
                <w:rFonts w:eastAsiaTheme="minorEastAsia"/>
              </w:rPr>
            </w:pPr>
            <w:r>
              <w:t>X</w:t>
            </w:r>
          </w:p>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EE03C7A" w14:textId="77777777" w:rsidR="005D07A6" w:rsidRDefault="005D07A6"/>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B7CEE29" w14:textId="77777777" w:rsidR="005D07A6" w:rsidRDefault="005D07A6"/>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2C96C91" w14:textId="77777777" w:rsidR="005D07A6" w:rsidRDefault="005D07A6"/>
        </w:tc>
      </w:tr>
    </w:tbl>
    <w:p w14:paraId="5178EA66" w14:textId="77777777" w:rsidR="005D07A6" w:rsidRDefault="00F42774">
      <w:pPr>
        <w:pStyle w:val="CT"/>
        <w:rPr>
          <w:rFonts w:eastAsiaTheme="minorEastAsia"/>
        </w:rPr>
      </w:pPr>
      <w:r>
        <w:t>Comme on peut le voir dans l’extrait de la matrice activités/inducteurs ci-avant, si le contrôleur de gestion retient l’inducteur « nombre de composants », cet inducteur ne servira qu’à mesurer l’activité « passation des commandes ». Si au contraire il retient le nombre de fournisseurs, il utilisera le même inducteur que pour les activités « veille fournisseurs », « réception et manutention » et « usinage ». Il pourra donc réunir ces trois activités et simplifiera ses calculs.</w:t>
      </w:r>
    </w:p>
    <w:p w14:paraId="26C53D2C" w14:textId="77777777" w:rsidR="005D07A6" w:rsidRDefault="00F42774">
      <w:pPr>
        <w:pStyle w:val="finfiletr"/>
      </w:pPr>
      <w:r>
        <w:t>Fin Application</w:t>
      </w:r>
    </w:p>
    <w:p w14:paraId="77C88CF5" w14:textId="77777777" w:rsidR="005D07A6" w:rsidRDefault="00F42774">
      <w:pPr>
        <w:pStyle w:val="T3"/>
      </w:pPr>
      <w:r>
        <w:t>section 3.</w:t>
      </w:r>
      <w:r>
        <w:tab/>
        <w:t>La synthèse des principales étapes</w:t>
      </w:r>
    </w:p>
    <w:p w14:paraId="63D49A3F" w14:textId="77777777" w:rsidR="005D07A6" w:rsidRDefault="00F42774">
      <w:pPr>
        <w:pStyle w:val="CT"/>
      </w:pPr>
      <w:r>
        <w:t xml:space="preserve">Le schéma suivant retrace les principales étapes du calcul des coûts à base d’activités telles qu’elles sont mises en œuvre dans la totalité des sujets d’examen du DCG depuis </w:t>
      </w:r>
      <w:r>
        <w:lastRenderedPageBreak/>
        <w:t>une quinzaine d’années. Comme on peut le voir, ce n’est jamais une approche ABC intégrale qui est mise en œuvre, mais plutôt une subdivision des centres d’analyses déjà identifiés. Ce schéma peut servir de fil conducteur à la réalisation de la plupart des exercices proposés sur la méthode ABC :</w:t>
      </w:r>
    </w:p>
    <w:p w14:paraId="6E2E5DD7" w14:textId="77777777" w:rsidR="005D07A6" w:rsidRDefault="00F42774">
      <w:pPr>
        <w:pStyle w:val="CT"/>
        <w:jc w:val="center"/>
      </w:pPr>
      <w:r>
        <w:rPr>
          <w:noProof/>
        </w:rPr>
        <w:drawing>
          <wp:inline distT="0" distB="0" distL="0" distR="0" wp14:anchorId="39C892CA" wp14:editId="5EB434E9">
            <wp:extent cx="4657748" cy="4986960"/>
            <wp:effectExtent l="0" t="0" r="0" b="4445"/>
            <wp:docPr id="26" name="Image 26" descr="Pas de visualisation pour [UE202526_433_S1_fichiers/201211TIAA0201.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as de visualisation pour [UE202526_433_S1_fichiers/201211TIAA0201.png] !"/>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657748" cy="4986960"/>
                    </a:xfrm>
                    <a:prstGeom prst="rect">
                      <a:avLst/>
                    </a:prstGeom>
                    <a:noFill/>
                    <a:ln>
                      <a:noFill/>
                    </a:ln>
                  </pic:spPr>
                </pic:pic>
              </a:graphicData>
            </a:graphic>
          </wp:inline>
        </w:drawing>
      </w:r>
      <w:r>
        <w:t>&lt;image&gt;201211TIAA0201.png&lt;/image&gt;</w:t>
      </w:r>
    </w:p>
    <w:p w14:paraId="03D30416" w14:textId="77777777" w:rsidR="005D07A6" w:rsidRDefault="00F42774">
      <w:pPr>
        <w:pStyle w:val="T2"/>
      </w:pPr>
      <w:r>
        <w:t>Chapitre 4.</w:t>
      </w:r>
      <w:r>
        <w:tab/>
        <w:t>L’appréciation critique de la méthode ABC</w:t>
      </w:r>
    </w:p>
    <w:p w14:paraId="51506096" w14:textId="77777777" w:rsidR="005D07A6" w:rsidRDefault="00F42774">
      <w:pPr>
        <w:pStyle w:val="debutfilet"/>
      </w:pPr>
      <w:r>
        <w:t>Competences_attendues</w:t>
      </w:r>
    </w:p>
    <w:p w14:paraId="139634DC" w14:textId="77777777" w:rsidR="005D07A6" w:rsidRDefault="00F42774">
      <w:pPr>
        <w:pStyle w:val="ET"/>
      </w:pPr>
      <w:r>
        <w:t xml:space="preserve">Calculer et interpréter des coûts, des marges et des résultats dans un contexte donné. </w:t>
      </w:r>
    </w:p>
    <w:p w14:paraId="047691A6" w14:textId="77777777" w:rsidR="005D07A6" w:rsidRDefault="00F42774">
      <w:pPr>
        <w:pStyle w:val="ET"/>
      </w:pPr>
      <w:r>
        <w:t>Apprécier les intérêts et limites des méthodes de calcul de coûts afin de choisir celle(s) adaptée(s) au contexte de gestion.</w:t>
      </w:r>
    </w:p>
    <w:p w14:paraId="53BE49D9" w14:textId="77777777" w:rsidR="005D07A6" w:rsidRDefault="00F42774">
      <w:pPr>
        <w:pStyle w:val="finfilet"/>
      </w:pPr>
      <w:r>
        <w:t>Fin Competences_attendues</w:t>
      </w:r>
    </w:p>
    <w:p w14:paraId="4623DAAE" w14:textId="77777777" w:rsidR="005D07A6" w:rsidRDefault="00F42774">
      <w:pPr>
        <w:pStyle w:val="CT"/>
      </w:pPr>
      <w:r>
        <w:t>Face à l’engouement soulevé dans les années 1990 par la méthode ABC, quelques limites ont été présentées :</w:t>
      </w:r>
    </w:p>
    <w:p w14:paraId="68891EAC" w14:textId="77777777" w:rsidR="005D07A6" w:rsidRDefault="00F42774">
      <w:pPr>
        <w:pStyle w:val="ET"/>
      </w:pPr>
      <w:r>
        <w:t>la notion d’activité est ambiguë ;</w:t>
      </w:r>
    </w:p>
    <w:p w14:paraId="6F6AA80A" w14:textId="77777777" w:rsidR="005D07A6" w:rsidRDefault="00F42774">
      <w:pPr>
        <w:pStyle w:val="ET"/>
      </w:pPr>
      <w:r>
        <w:t xml:space="preserve">le </w:t>
      </w:r>
      <w:r>
        <w:rPr>
          <w:b/>
          <w:bCs/>
        </w:rPr>
        <w:t>frein humain</w:t>
      </w:r>
      <w:r>
        <w:t xml:space="preserve"> est une difficulté fréquemment citée par les entreprises qui ont implanté la méthode : la mise en place est parfois ressentie comme une remise en cause des compétences et du pouvoir et suppose l’adhésion du personnel ;</w:t>
      </w:r>
    </w:p>
    <w:p w14:paraId="69BD75A0" w14:textId="77777777" w:rsidR="005D07A6" w:rsidRDefault="00F42774">
      <w:pPr>
        <w:pStyle w:val="ET"/>
      </w:pPr>
      <w:r>
        <w:lastRenderedPageBreak/>
        <w:t>il ne faut pas créer une « </w:t>
      </w:r>
      <w:r>
        <w:rPr>
          <w:b/>
          <w:bCs/>
        </w:rPr>
        <w:t>usine à gaz</w:t>
      </w:r>
      <w:r>
        <w:t> » ni une organisation trop sommaire. Un arbitrage entre simplicité et complexité s’impose ;</w:t>
      </w:r>
    </w:p>
    <w:p w14:paraId="24566DD8" w14:textId="77777777" w:rsidR="005D07A6" w:rsidRDefault="00F42774">
      <w:pPr>
        <w:pStyle w:val="ET"/>
      </w:pPr>
      <w:r>
        <w:t>la similitude dans le procédé de calcul des coûts conduit des auteurs à rappeler que la méthode des « sections homogènes » se fonde sur l’homogénéité de l’activité du centre d’analyse et qu’en ce sens la méthode des coûts à base d’activités ne constituerait qu’un « </w:t>
      </w:r>
      <w:r>
        <w:rPr>
          <w:b/>
          <w:bCs/>
        </w:rPr>
        <w:t>retour aux sources</w:t>
      </w:r>
      <w:r>
        <w:t> ».</w:t>
      </w:r>
    </w:p>
    <w:p w14:paraId="22C0AE78" w14:textId="77777777" w:rsidR="005D07A6" w:rsidRDefault="00F42774">
      <w:pPr>
        <w:pStyle w:val="CTEspDessous"/>
      </w:pPr>
      <w:r>
        <w:t>Les défenseurs de la méthode ABC aiment à insister sur l’importance de l’étude des causalités pour identifier les inducteurs alors que bien souvent, par paresse, les calculs de coûts traditionnels construisent le découpage des centres d’analyse sur le découpage en centres de responsabilité de l’entreprise.</w:t>
      </w:r>
    </w:p>
    <w:p w14:paraId="54F1F182" w14:textId="77777777" w:rsidR="005D07A6" w:rsidRDefault="00F42774">
      <w:pPr>
        <w:pStyle w:val="CTEspDessous"/>
      </w:pPr>
      <w:r>
        <w:t>On peut aussi penser que la méthode traditionnelle des centres d’analyse issue du PCG insiste davantage sur le pragmatisme. Elle avait pour vocation de fournir aux entreprises une méthode « clés en main » de calcul du coût de revient : en partant de la liste des charges du compte de résultat, on regroupe les charges par centres « plus ou moins homogènes » (répartition primaire), puis si parmi ces centres certains sont transversaux (centres auxiliaires), alors on les répartit à nouveau sur les centres (centres principaux) pour lesquels on a une unité d’œuvre et que l’on peut associer à une étape du processus de création de valeur (approvisionnement/production/distribution).</w:t>
      </w:r>
    </w:p>
    <w:p w14:paraId="60CADFBE" w14:textId="77777777" w:rsidR="005D07A6" w:rsidRDefault="00F42774">
      <w:pPr>
        <w:pStyle w:val="CTEspDessous"/>
      </w:pPr>
      <w:r>
        <w:t xml:space="preserve">Mais si la méthode des centres d’analyse est souvent présentée comme s’appuyant sur le découpage fonctionnel (les centres de responsabilités) de l’entreprise plutôt que de se fonder sur une analyse des processus et des véritables causes de consommation des ressources, ce n’est pas inhérent à la méthode en elle-même, mais simplement parce que dans bien des cas le pragmatisme l’emporte sur l’analyse approfondie des centres. </w:t>
      </w:r>
      <w:r>
        <w:rPr>
          <w:highlight w:val="green"/>
        </w:rPr>
        <w:fldChar w:fldCharType="begin"/>
      </w:r>
      <w:r>
        <w:rPr>
          <w:highlight w:val="green"/>
        </w:rPr>
        <w:instrText xml:space="preserve"> XE "</w:instrText>
      </w:r>
      <w:r>
        <w:rPr>
          <w:noProof/>
          <w:highlight w:val="green"/>
        </w:rPr>
        <w:instrText>Centre</w:instrText>
      </w:r>
      <w:r>
        <w:rPr>
          <w:highlight w:val="green"/>
        </w:rPr>
        <w:instrText>:</w:instrText>
      </w:r>
      <w:r>
        <w:rPr>
          <w:noProof/>
          <w:highlight w:val="green"/>
        </w:rPr>
        <w:instrText>– de responsabilité</w:instrText>
      </w:r>
      <w:r>
        <w:rPr>
          <w:highlight w:val="green"/>
        </w:rPr>
        <w:instrText xml:space="preserve">" </w:instrText>
      </w:r>
      <w:r>
        <w:rPr>
          <w:highlight w:val="green"/>
        </w:rPr>
        <w:fldChar w:fldCharType="end"/>
      </w:r>
    </w:p>
    <w:p w14:paraId="61F65BDB" w14:textId="77777777" w:rsidR="005D07A6" w:rsidRDefault="00F42774">
      <w:pPr>
        <w:pStyle w:val="CTEspDessous"/>
      </w:pPr>
      <w:r>
        <w:t>À l’inverse, si la méthode ABC/ABM est généralement présentée comme dissociant l’analyse des coûts du découpage de l’entreprise en centres de responsabilités, c’est qu’elle est présentée de manière théorique alors qu’en pratique, la mise en œuvre de l’ABC dans les entreprises s’accompagne de simplifications et de pragmatisme qui finissent par la rendre tout aussi approximative que la méthode traditionnelle.</w:t>
      </w:r>
    </w:p>
    <w:p w14:paraId="432EC69C" w14:textId="77777777" w:rsidR="005D07A6" w:rsidRDefault="00F42774">
      <w:pPr>
        <w:pStyle w:val="CTEspDessous"/>
      </w:pPr>
      <w:r>
        <w:t>On oublie souvent de préciser que le regroupement des activités par inducteur commun n’est pas toujours possible, surtout lorsqu’il y a présence de stocks dans l’entreprise. En effet, une charge indirecte liée à une opération d’approvisionnement ne peut pas être additionnée à une charge indirecte liée à une opération de production s’il existe des stocks de matière première par exemple, et ce, même si ces deux activités ont le même inducteur ! C’est pourquoi en pratique, la méthode ABC a surtout connu un grand succès dans les entreprises de services où la présence de stocks est généralement faible, et où les activités transversales sont importantes. Il est d’ailleurs assez symptomatique de constater que depuis une vingtaine d’années tous les sujets du DCG abordant la méthode ABC, concernaient des entreprises qui produisaient en juste-à-temps et qui n’avaient aucun stock !</w:t>
      </w:r>
    </w:p>
    <w:p w14:paraId="748637A5" w14:textId="77777777" w:rsidR="005D07A6" w:rsidRDefault="00F42774">
      <w:pPr>
        <w:pStyle w:val="CTEspDessous"/>
      </w:pPr>
      <w:r>
        <w:t>Par ailleurs, si dans la méthode ABC on insiste beaucoup sur le fait qu’il ne faut pas systématiquement privilégier les inducteurs volumiques (alors que par simplicité ils sont souvent utilisés dans la méthode traditionnelle), on oublie bien souvent de dire deux choses : la première est que la méthode traditionnelle n’a jamais interdit d’utiliser des unités d’œuvre non volumiques. La seconde est que les inducteurs non volumiques conduisent bien souvent à des répartitions des charges en deux temps qui compliquent considérablement les calculs et finissent toujours par une répartition volumique.</w:t>
      </w:r>
    </w:p>
    <w:p w14:paraId="5C11A123" w14:textId="77777777" w:rsidR="005D07A6" w:rsidRDefault="00F42774">
      <w:pPr>
        <w:pStyle w:val="debutfiletr"/>
      </w:pPr>
      <w:r>
        <w:t>Application _n-14_Suite</w:t>
      </w:r>
    </w:p>
    <w:p w14:paraId="2B5FA0A5" w14:textId="77777777" w:rsidR="005D07A6" w:rsidRDefault="00F42774">
      <w:pPr>
        <w:pStyle w:val="CT"/>
      </w:pPr>
      <w:r>
        <w:rPr>
          <w:i/>
          <w:iCs/>
        </w:rPr>
        <w:t>Extraits du sujet DCG 2016</w:t>
      </w:r>
    </w:p>
    <w:p w14:paraId="0EA2A71F" w14:textId="77777777" w:rsidR="005D07A6" w:rsidRDefault="00F42774">
      <w:pPr>
        <w:pStyle w:val="CT"/>
      </w:pPr>
      <w:r>
        <w:t>L’entreprise s’approvisionne en flux tendu. L’impact des stocks est donc négligé : les matières achetées sont consommées.</w:t>
      </w:r>
    </w:p>
    <w:p w14:paraId="10F20730" w14:textId="77777777" w:rsidR="005D07A6" w:rsidRDefault="00F42774">
      <w:pPr>
        <w:pStyle w:val="CT"/>
      </w:pPr>
      <w:r>
        <w:lastRenderedPageBreak/>
        <w:t>L’entreprise ALTEOS a retenu comme inducteur de coûts le nombre de fournisseurs pour l’activité « relations fournisseurs » dont le montant des charges à répartir est de 170 000 €.</w:t>
      </w:r>
    </w:p>
    <w:p w14:paraId="300A7562" w14:textId="77777777" w:rsidR="005D07A6" w:rsidRDefault="00F42774">
      <w:pPr>
        <w:pStyle w:val="CT"/>
      </w:pPr>
      <w:r>
        <w:t>L’entreprise fait appel à quatre fournisseurs spécialisés dans un approvisionnement (cassis, menthe, sucre et kit embouteillage).</w:t>
      </w:r>
    </w:p>
    <w:p w14:paraId="1C460C3E" w14:textId="77777777" w:rsidR="005D07A6" w:rsidRDefault="00F42774">
      <w:pPr>
        <w:pStyle w:val="CT"/>
      </w:pPr>
      <w:r>
        <w:t>Il est donc facilement possible de calculer le coût de l’inducteur : 170 000/4 = 42 500 €</w:t>
      </w:r>
    </w:p>
    <w:p w14:paraId="46505F9E" w14:textId="77777777" w:rsidR="005D07A6" w:rsidRDefault="00F42774">
      <w:pPr>
        <w:pStyle w:val="CT"/>
      </w:pPr>
      <w:r>
        <w:t>Autrement dit, les relations avec chaque fournisseur génèrent 42 500 € de charges indirectes. On remarque à ce stade que l’intérêt de ce calcul, c’est que si l’on devait faire appel à un nouveau fournisseur, il est raisonnable de penser que les charges indirectes pourraient augmenter de 42 500 € (sous réserve que ces charges indirectes ne soient pas entièrement fixes). C’est une application très concrète de ce que l’on appelle ABM : faire coïncider le système de calcul de coût avec les informations utiles à la prise de décision du manager. La répartition des charges indirectes n’a pas pour seule finalité la valorisation des stocks, mais doit aussi être utile à la prise de décision.</w:t>
      </w:r>
    </w:p>
    <w:p w14:paraId="147119FA" w14:textId="77777777" w:rsidR="005D07A6" w:rsidRDefault="00F42774">
      <w:pPr>
        <w:pStyle w:val="CT"/>
      </w:pPr>
      <w:r>
        <w:t>Cela étant dit, si on connaît le coût de l’inducteur, on ne connaît toujours pas le coût de l’activité « relations fournisseurs » qu’il faut attribuer à chaque produit si l’on veut calculer le coût d’approvisionnement complet et le coût de revient ! En effet, dans l’entreprise ALTEOS qui produit des boissons diététiques, les produits nécessitent la combinaison de plusieurs ingrédients achetés à des fournisseurs différents. Autrement dit, le coût de chaque fournisseur doit être réparti entre différents produits. La méthode ABC conduit donc ici à imaginer une répartition en deux temps.</w:t>
      </w:r>
    </w:p>
    <w:p w14:paraId="51FE3CAC" w14:textId="77777777" w:rsidR="005D07A6" w:rsidRDefault="00F42774">
      <w:pPr>
        <w:pStyle w:val="CT"/>
      </w:pPr>
      <w:r>
        <w:t>Un peu plus loin, l’annexe du sujet précise :</w:t>
      </w:r>
    </w:p>
    <w:p w14:paraId="216A7CCF" w14:textId="77777777" w:rsidR="005D07A6" w:rsidRDefault="00F42774">
      <w:pPr>
        <w:pStyle w:val="CT"/>
      </w:pPr>
      <w:r>
        <w:t>La fourniture d’eau ne fait pas l’objet de commande auprès d’un fournisseur.</w:t>
      </w:r>
    </w:p>
    <w:p w14:paraId="0D42E160" w14:textId="77777777" w:rsidR="005D07A6" w:rsidRDefault="00F42774">
      <w:pPr>
        <w:pStyle w:val="CT"/>
      </w:pPr>
      <w:r>
        <w:t>Lorsque le fournisseur est commun aux deux produits, ½ inducteur est attribué à chaque produit.</w:t>
      </w:r>
    </w:p>
    <w:p w14:paraId="59CCE0FD" w14:textId="77777777" w:rsidR="005D07A6" w:rsidRDefault="00F42774">
      <w:pPr>
        <w:pStyle w:val="CT"/>
      </w:pPr>
      <w:r>
        <w:t>Admettons que l’entreprise produise deux sirops : Énergie et Tranquillité. Admettons que les quatre fournisseurs correspondent à quatre ingrédients différents : A, B, C et D. Admettons que le sirop Énergie nécessite des ingrédients A, B, C et D, et que le sirop Tranquillité nécessite des ingrédients A et D seulement. Quelle sera alors la répartition des charges de « relations fournisseurs » à imputer aux deux sirops ?</w:t>
      </w:r>
    </w:p>
    <w:p w14:paraId="23E01DD5" w14:textId="77777777" w:rsidR="005D07A6" w:rsidRDefault="00F42774">
      <w:pPr>
        <w:pStyle w:val="CT"/>
      </w:pPr>
      <w:r>
        <w:t>Fournisseur 1 : Ingrédient A </w:t>
      </w:r>
      <w:r>
        <w:rPr>
          <w:rFonts w:ascii="Cambria Math" w:hAnsi="Cambria Math" w:cs="Cambria Math"/>
        </w:rPr>
        <w:t>⇒</w:t>
      </w:r>
      <w:r>
        <w:t xml:space="preserve"> commun aux deux produits, donc </w:t>
      </w:r>
      <w:r>
        <w:rPr>
          <w:rFonts w:cs="Helvetica"/>
        </w:rPr>
        <w:t>à</w:t>
      </w:r>
      <w:r>
        <w:t xml:space="preserve"> r</w:t>
      </w:r>
      <w:r>
        <w:rPr>
          <w:rFonts w:cs="Helvetica"/>
        </w:rPr>
        <w:t>é</w:t>
      </w:r>
      <w:r>
        <w:t xml:space="preserve">partir </w:t>
      </w:r>
      <w:r>
        <w:rPr>
          <w:rFonts w:cs="Helvetica"/>
        </w:rPr>
        <w:t>à</w:t>
      </w:r>
      <w:r>
        <w:t xml:space="preserve"> moiti</w:t>
      </w:r>
      <w:r>
        <w:rPr>
          <w:rFonts w:cs="Helvetica"/>
        </w:rPr>
        <w:t>é</w:t>
      </w:r>
      <w:r>
        <w:t xml:space="preserve"> entre les deux produits, soit 42</w:t>
      </w:r>
      <w:r>
        <w:rPr>
          <w:rFonts w:cs="Helvetica"/>
        </w:rPr>
        <w:t> </w:t>
      </w:r>
      <w:r>
        <w:t>500/2</w:t>
      </w:r>
      <w:r>
        <w:rPr>
          <w:rFonts w:cs="Helvetica"/>
        </w:rPr>
        <w:t> </w:t>
      </w:r>
      <w:r>
        <w:t>=</w:t>
      </w:r>
      <w:r>
        <w:rPr>
          <w:rFonts w:cs="Helvetica"/>
        </w:rPr>
        <w:t> </w:t>
      </w:r>
      <w:r>
        <w:t>21</w:t>
      </w:r>
      <w:r>
        <w:rPr>
          <w:rFonts w:cs="Helvetica"/>
        </w:rPr>
        <w:t> </w:t>
      </w:r>
      <w:r>
        <w:t>250 pour chaque produit.</w:t>
      </w:r>
    </w:p>
    <w:p w14:paraId="67E538A3" w14:textId="77777777" w:rsidR="005D07A6" w:rsidRDefault="00F42774">
      <w:pPr>
        <w:pStyle w:val="CT"/>
      </w:pPr>
      <w:r>
        <w:t>Fournisseur 2 : Ingrédient B </w:t>
      </w:r>
      <w:r>
        <w:rPr>
          <w:rFonts w:ascii="Cambria Math" w:hAnsi="Cambria Math" w:cs="Cambria Math"/>
        </w:rPr>
        <w:t>⇒</w:t>
      </w:r>
      <w:r>
        <w:t xml:space="preserve"> 42</w:t>
      </w:r>
      <w:r>
        <w:rPr>
          <w:rFonts w:cs="Helvetica"/>
        </w:rPr>
        <w:t> </w:t>
      </w:r>
      <w:r>
        <w:t xml:space="preserve">500 pour le seul produit </w:t>
      </w:r>
      <w:r>
        <w:rPr>
          <w:rFonts w:cs="Helvetica"/>
        </w:rPr>
        <w:t>É</w:t>
      </w:r>
      <w:r>
        <w:t>nergie.</w:t>
      </w:r>
    </w:p>
    <w:p w14:paraId="5FBAB143" w14:textId="77777777" w:rsidR="005D07A6" w:rsidRDefault="00F42774">
      <w:pPr>
        <w:pStyle w:val="CT"/>
      </w:pPr>
      <w:r>
        <w:t>Fournisseur 3 : Ingrédient C </w:t>
      </w:r>
      <w:r>
        <w:rPr>
          <w:rFonts w:ascii="Cambria Math" w:hAnsi="Cambria Math" w:cs="Cambria Math"/>
        </w:rPr>
        <w:t>⇒</w:t>
      </w:r>
      <w:r>
        <w:t xml:space="preserve"> 42</w:t>
      </w:r>
      <w:r>
        <w:rPr>
          <w:rFonts w:cs="Helvetica"/>
        </w:rPr>
        <w:t> </w:t>
      </w:r>
      <w:r>
        <w:t xml:space="preserve">500 pour le seul produit </w:t>
      </w:r>
      <w:r>
        <w:rPr>
          <w:rFonts w:cs="Helvetica"/>
        </w:rPr>
        <w:t>É</w:t>
      </w:r>
      <w:r>
        <w:t>nergie.</w:t>
      </w:r>
    </w:p>
    <w:p w14:paraId="182F2E56" w14:textId="77777777" w:rsidR="005D07A6" w:rsidRDefault="00F42774">
      <w:pPr>
        <w:pStyle w:val="CT"/>
      </w:pPr>
      <w:r>
        <w:t>Fournisseur 4 : Ingrédient D </w:t>
      </w:r>
      <w:r>
        <w:rPr>
          <w:rFonts w:ascii="Cambria Math" w:hAnsi="Cambria Math" w:cs="Cambria Math"/>
        </w:rPr>
        <w:t>⇒</w:t>
      </w:r>
      <w:r>
        <w:t xml:space="preserve"> commun aux deux produits, donc </w:t>
      </w:r>
      <w:r>
        <w:rPr>
          <w:rFonts w:cs="Helvetica"/>
        </w:rPr>
        <w:t>à</w:t>
      </w:r>
      <w:r>
        <w:t xml:space="preserve"> r</w:t>
      </w:r>
      <w:r>
        <w:rPr>
          <w:rFonts w:cs="Helvetica"/>
        </w:rPr>
        <w:t>é</w:t>
      </w:r>
      <w:r>
        <w:t xml:space="preserve">partir </w:t>
      </w:r>
      <w:r>
        <w:rPr>
          <w:rFonts w:cs="Helvetica"/>
        </w:rPr>
        <w:t>à</w:t>
      </w:r>
      <w:r>
        <w:t xml:space="preserve"> moiti</w:t>
      </w:r>
      <w:r>
        <w:rPr>
          <w:rFonts w:cs="Helvetica"/>
        </w:rPr>
        <w:t>é</w:t>
      </w:r>
      <w:r>
        <w:t xml:space="preserve"> entre les deux produits, soit 42</w:t>
      </w:r>
      <w:r>
        <w:rPr>
          <w:rFonts w:cs="Helvetica"/>
        </w:rPr>
        <w:t> </w:t>
      </w:r>
      <w:r>
        <w:t>500/2</w:t>
      </w:r>
      <w:r>
        <w:rPr>
          <w:rFonts w:cs="Helvetica"/>
        </w:rPr>
        <w:t> </w:t>
      </w:r>
      <w:r>
        <w:t>=</w:t>
      </w:r>
      <w:r>
        <w:rPr>
          <w:rFonts w:cs="Helvetica"/>
        </w:rPr>
        <w:t> </w:t>
      </w:r>
      <w:r>
        <w:t>21</w:t>
      </w:r>
      <w:r>
        <w:rPr>
          <w:rFonts w:cs="Helvetica"/>
        </w:rPr>
        <w:t> </w:t>
      </w:r>
      <w:r>
        <w:t>250 pour chaque produit.</w:t>
      </w:r>
    </w:p>
    <w:p w14:paraId="6511484C" w14:textId="77777777" w:rsidR="005D07A6" w:rsidRDefault="00F42774">
      <w:pPr>
        <w:pStyle w:val="CT"/>
      </w:pPr>
      <w:r>
        <w:t>On pouvait aussi dresser le tableau suivant :</w:t>
      </w:r>
    </w:p>
    <w:tbl>
      <w:tblPr>
        <w:tblW w:w="7643" w:type="dxa"/>
        <w:tblInd w:w="1701" w:type="dxa"/>
        <w:tblLook w:val="04A0" w:firstRow="1" w:lastRow="0" w:firstColumn="1" w:lastColumn="0" w:noHBand="0" w:noVBand="1"/>
      </w:tblPr>
      <w:tblGrid>
        <w:gridCol w:w="2540"/>
        <w:gridCol w:w="1701"/>
        <w:gridCol w:w="1701"/>
        <w:gridCol w:w="1701"/>
      </w:tblGrid>
      <w:tr w:rsidR="005D07A6" w14:paraId="5035AFDE" w14:textId="77777777">
        <w:tc>
          <w:tcPr>
            <w:tcW w:w="1905" w:type="dxa"/>
            <w:tcBorders>
              <w:top w:val="nil"/>
              <w:left w:val="nil"/>
              <w:bottom w:val="single" w:sz="4" w:space="0" w:color="auto"/>
              <w:right w:val="single" w:sz="4" w:space="0" w:color="auto"/>
            </w:tcBorders>
            <w:tcMar>
              <w:top w:w="0" w:type="dxa"/>
              <w:left w:w="2" w:type="dxa"/>
              <w:bottom w:w="0" w:type="dxa"/>
              <w:right w:w="2" w:type="dxa"/>
            </w:tcMar>
            <w:hideMark/>
          </w:tcPr>
          <w:p w14:paraId="630F6825" w14:textId="77777777" w:rsidR="005D07A6" w:rsidRDefault="005D07A6"/>
        </w:tc>
        <w:tc>
          <w:tcPr>
            <w:tcW w:w="127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11B39CB" w14:textId="77777777" w:rsidR="005D07A6" w:rsidRDefault="00F42774">
            <w:pPr>
              <w:pStyle w:val="TA1"/>
              <w:jc w:val="center"/>
              <w:rPr>
                <w:rFonts w:eastAsiaTheme="minorEastAsia"/>
              </w:rPr>
            </w:pPr>
            <w:r>
              <w:rPr>
                <w:b/>
                <w:bCs/>
              </w:rPr>
              <w:t>Énergie</w:t>
            </w:r>
          </w:p>
        </w:tc>
        <w:tc>
          <w:tcPr>
            <w:tcW w:w="127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C84FF3A" w14:textId="77777777" w:rsidR="005D07A6" w:rsidRDefault="00F42774">
            <w:pPr>
              <w:pStyle w:val="TA1"/>
              <w:jc w:val="center"/>
              <w:rPr>
                <w:rFonts w:eastAsiaTheme="minorEastAsia"/>
              </w:rPr>
            </w:pPr>
            <w:r>
              <w:rPr>
                <w:b/>
                <w:bCs/>
              </w:rPr>
              <w:t>Tranquillité</w:t>
            </w:r>
          </w:p>
        </w:tc>
        <w:tc>
          <w:tcPr>
            <w:tcW w:w="127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5405625" w14:textId="77777777" w:rsidR="005D07A6" w:rsidRDefault="00F42774">
            <w:pPr>
              <w:pStyle w:val="TA1"/>
              <w:jc w:val="center"/>
              <w:rPr>
                <w:rFonts w:eastAsiaTheme="minorEastAsia"/>
              </w:rPr>
            </w:pPr>
            <w:r>
              <w:rPr>
                <w:b/>
                <w:bCs/>
              </w:rPr>
              <w:t>Total</w:t>
            </w:r>
          </w:p>
        </w:tc>
      </w:tr>
      <w:tr w:rsidR="005D07A6" w14:paraId="48F8FDF2" w14:textId="77777777">
        <w:tc>
          <w:tcPr>
            <w:tcW w:w="19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6A8BD1A" w14:textId="77777777" w:rsidR="005D07A6" w:rsidRDefault="00F42774">
            <w:pPr>
              <w:pStyle w:val="TA1"/>
              <w:rPr>
                <w:rFonts w:eastAsiaTheme="minorEastAsia"/>
              </w:rPr>
            </w:pPr>
            <w:r>
              <w:t>Fournisseur A</w:t>
            </w:r>
          </w:p>
        </w:tc>
        <w:tc>
          <w:tcPr>
            <w:tcW w:w="12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26B660A" w14:textId="77777777" w:rsidR="005D07A6" w:rsidRDefault="00F42774">
            <w:pPr>
              <w:pStyle w:val="TA1"/>
              <w:jc w:val="center"/>
              <w:rPr>
                <w:rFonts w:eastAsiaTheme="minorEastAsia"/>
              </w:rPr>
            </w:pPr>
            <w:r>
              <w:t>1/2</w:t>
            </w:r>
          </w:p>
        </w:tc>
        <w:tc>
          <w:tcPr>
            <w:tcW w:w="12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D364E12" w14:textId="77777777" w:rsidR="005D07A6" w:rsidRDefault="00F42774">
            <w:pPr>
              <w:pStyle w:val="TA1"/>
              <w:jc w:val="center"/>
              <w:rPr>
                <w:rFonts w:eastAsiaTheme="minorEastAsia"/>
              </w:rPr>
            </w:pPr>
            <w:r>
              <w:t>1/2</w:t>
            </w:r>
          </w:p>
        </w:tc>
        <w:tc>
          <w:tcPr>
            <w:tcW w:w="12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75DEA79" w14:textId="77777777" w:rsidR="005D07A6" w:rsidRDefault="005D07A6"/>
        </w:tc>
      </w:tr>
      <w:tr w:rsidR="005D07A6" w14:paraId="23B540AE" w14:textId="77777777">
        <w:tc>
          <w:tcPr>
            <w:tcW w:w="19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3330C87" w14:textId="77777777" w:rsidR="005D07A6" w:rsidRDefault="00F42774">
            <w:pPr>
              <w:pStyle w:val="TA1"/>
              <w:rPr>
                <w:rFonts w:eastAsiaTheme="minorEastAsia"/>
              </w:rPr>
            </w:pPr>
            <w:r>
              <w:t>Fournisseur B</w:t>
            </w:r>
          </w:p>
        </w:tc>
        <w:tc>
          <w:tcPr>
            <w:tcW w:w="12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87441D4" w14:textId="77777777" w:rsidR="005D07A6" w:rsidRDefault="00F42774">
            <w:pPr>
              <w:pStyle w:val="TA1"/>
              <w:jc w:val="center"/>
              <w:rPr>
                <w:rFonts w:eastAsiaTheme="minorEastAsia"/>
              </w:rPr>
            </w:pPr>
            <w:r>
              <w:t>1</w:t>
            </w:r>
          </w:p>
        </w:tc>
        <w:tc>
          <w:tcPr>
            <w:tcW w:w="12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F0E30FE" w14:textId="77777777" w:rsidR="005D07A6" w:rsidRDefault="005D07A6"/>
        </w:tc>
        <w:tc>
          <w:tcPr>
            <w:tcW w:w="12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E7A44FC" w14:textId="77777777" w:rsidR="005D07A6" w:rsidRDefault="005D07A6"/>
        </w:tc>
      </w:tr>
      <w:tr w:rsidR="005D07A6" w14:paraId="53BF8D4D" w14:textId="77777777">
        <w:tc>
          <w:tcPr>
            <w:tcW w:w="19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B7F1179" w14:textId="77777777" w:rsidR="005D07A6" w:rsidRDefault="00F42774">
            <w:pPr>
              <w:pStyle w:val="TA1"/>
              <w:rPr>
                <w:rFonts w:eastAsiaTheme="minorEastAsia"/>
              </w:rPr>
            </w:pPr>
            <w:r>
              <w:t>Fournisseur C</w:t>
            </w:r>
          </w:p>
        </w:tc>
        <w:tc>
          <w:tcPr>
            <w:tcW w:w="12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4CE4CFC" w14:textId="77777777" w:rsidR="005D07A6" w:rsidRDefault="00F42774">
            <w:pPr>
              <w:pStyle w:val="TA1"/>
              <w:jc w:val="center"/>
              <w:rPr>
                <w:rFonts w:eastAsiaTheme="minorEastAsia"/>
              </w:rPr>
            </w:pPr>
            <w:r>
              <w:t>1</w:t>
            </w:r>
          </w:p>
        </w:tc>
        <w:tc>
          <w:tcPr>
            <w:tcW w:w="12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96C4D78" w14:textId="77777777" w:rsidR="005D07A6" w:rsidRDefault="005D07A6"/>
        </w:tc>
        <w:tc>
          <w:tcPr>
            <w:tcW w:w="12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AE4B9FB" w14:textId="77777777" w:rsidR="005D07A6" w:rsidRDefault="005D07A6"/>
        </w:tc>
      </w:tr>
      <w:tr w:rsidR="005D07A6" w14:paraId="14B8C0AF" w14:textId="77777777">
        <w:tc>
          <w:tcPr>
            <w:tcW w:w="19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69CA8DF" w14:textId="77777777" w:rsidR="005D07A6" w:rsidRDefault="00F42774">
            <w:pPr>
              <w:pStyle w:val="TA1"/>
              <w:rPr>
                <w:rFonts w:eastAsiaTheme="minorEastAsia"/>
              </w:rPr>
            </w:pPr>
            <w:r>
              <w:t>Fournisseur D</w:t>
            </w:r>
          </w:p>
        </w:tc>
        <w:tc>
          <w:tcPr>
            <w:tcW w:w="12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3077469" w14:textId="77777777" w:rsidR="005D07A6" w:rsidRDefault="00F42774">
            <w:pPr>
              <w:pStyle w:val="TA1"/>
              <w:jc w:val="center"/>
              <w:rPr>
                <w:rFonts w:eastAsiaTheme="minorEastAsia"/>
              </w:rPr>
            </w:pPr>
            <w:r>
              <w:t>1/2</w:t>
            </w:r>
          </w:p>
        </w:tc>
        <w:tc>
          <w:tcPr>
            <w:tcW w:w="12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009D4AA" w14:textId="77777777" w:rsidR="005D07A6" w:rsidRDefault="00F42774">
            <w:pPr>
              <w:pStyle w:val="TA1"/>
              <w:jc w:val="center"/>
              <w:rPr>
                <w:rFonts w:eastAsiaTheme="minorEastAsia"/>
              </w:rPr>
            </w:pPr>
            <w:r>
              <w:t>1/2</w:t>
            </w:r>
          </w:p>
        </w:tc>
        <w:tc>
          <w:tcPr>
            <w:tcW w:w="12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4301C42" w14:textId="77777777" w:rsidR="005D07A6" w:rsidRDefault="005D07A6"/>
        </w:tc>
      </w:tr>
      <w:tr w:rsidR="005D07A6" w14:paraId="0A0306E4" w14:textId="77777777">
        <w:tc>
          <w:tcPr>
            <w:tcW w:w="19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EC4BD42" w14:textId="77777777" w:rsidR="005D07A6" w:rsidRDefault="00F42774">
            <w:pPr>
              <w:pStyle w:val="TA1"/>
              <w:rPr>
                <w:rFonts w:eastAsiaTheme="minorEastAsia"/>
              </w:rPr>
            </w:pPr>
            <w:r>
              <w:t>Total</w:t>
            </w:r>
          </w:p>
        </w:tc>
        <w:tc>
          <w:tcPr>
            <w:tcW w:w="12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C9D396E" w14:textId="77777777" w:rsidR="005D07A6" w:rsidRDefault="00F42774">
            <w:pPr>
              <w:pStyle w:val="TA1"/>
              <w:jc w:val="center"/>
              <w:rPr>
                <w:rFonts w:eastAsiaTheme="minorEastAsia"/>
              </w:rPr>
            </w:pPr>
            <w:r>
              <w:t>3</w:t>
            </w:r>
          </w:p>
        </w:tc>
        <w:tc>
          <w:tcPr>
            <w:tcW w:w="12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6B0F7F0" w14:textId="77777777" w:rsidR="005D07A6" w:rsidRDefault="00F42774">
            <w:pPr>
              <w:pStyle w:val="TA1"/>
              <w:jc w:val="center"/>
              <w:rPr>
                <w:rFonts w:eastAsiaTheme="minorEastAsia"/>
              </w:rPr>
            </w:pPr>
            <w:r>
              <w:t>1</w:t>
            </w:r>
          </w:p>
        </w:tc>
        <w:tc>
          <w:tcPr>
            <w:tcW w:w="12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E2484AE" w14:textId="77777777" w:rsidR="005D07A6" w:rsidRDefault="00F42774">
            <w:pPr>
              <w:pStyle w:val="TA1"/>
              <w:jc w:val="center"/>
              <w:rPr>
                <w:rFonts w:eastAsiaTheme="minorEastAsia"/>
              </w:rPr>
            </w:pPr>
            <w:r>
              <w:t>4</w:t>
            </w:r>
          </w:p>
        </w:tc>
      </w:tr>
    </w:tbl>
    <w:p w14:paraId="312C2016" w14:textId="77777777" w:rsidR="005D07A6" w:rsidRDefault="00F42774">
      <w:pPr>
        <w:pStyle w:val="CT"/>
        <w:rPr>
          <w:rFonts w:eastAsiaTheme="minorEastAsia"/>
        </w:rPr>
      </w:pPr>
      <w:r>
        <w:t>On pouvait alors imputer 3 inducteurs (3 × 42 500) à la boisson Énergie et 1 inducteur (42 500) à la boisson Tranquillité.</w:t>
      </w:r>
    </w:p>
    <w:p w14:paraId="04D7BBDF" w14:textId="77777777" w:rsidR="005D07A6" w:rsidRDefault="00F42774">
      <w:pPr>
        <w:pStyle w:val="CT"/>
      </w:pPr>
      <w:r>
        <w:t>Les inducteurs (ou les unités d’œuvres) qui ne sont pas volumiques, et qui sont liés à un facteur de déclenchement conduisent donc souvent à des répartitions en deux temps qui sont des pièges dans les sujets d’examen !</w:t>
      </w:r>
    </w:p>
    <w:p w14:paraId="634EFF40" w14:textId="77777777" w:rsidR="005D07A6" w:rsidRDefault="00F42774">
      <w:pPr>
        <w:pStyle w:val="finfiletr"/>
      </w:pPr>
      <w:r>
        <w:t>Fin Application</w:t>
      </w:r>
    </w:p>
    <w:p w14:paraId="68A31EA7" w14:textId="77777777" w:rsidR="005D07A6" w:rsidRDefault="00F42774">
      <w:pPr>
        <w:pStyle w:val="CTEspDessous"/>
      </w:pPr>
      <w:r>
        <w:t xml:space="preserve">Enfin, la vision stratégique est par </w:t>
      </w:r>
      <w:r>
        <w:rPr>
          <w:b/>
          <w:bCs/>
        </w:rPr>
        <w:t>nature changeante</w:t>
      </w:r>
      <w:r>
        <w:t xml:space="preserve"> (on analyse les activités stratégiques une fois de temps en temps) alors que la vision comptable doit être par </w:t>
      </w:r>
      <w:r>
        <w:rPr>
          <w:b/>
          <w:bCs/>
        </w:rPr>
        <w:t>nature constante</w:t>
      </w:r>
      <w:r>
        <w:t xml:space="preserve"> (le découpage a pour objectif de produire de manière répétitive des indicateurs chiffrés). Construire un modèle de calcul de coûts qui cherche à coller au découpage stratégique des activités au sens de Michaël </w:t>
      </w:r>
      <w:r>
        <w:rPr>
          <w:b/>
          <w:bCs/>
        </w:rPr>
        <w:t>Porter</w:t>
      </w:r>
      <w:r>
        <w:t xml:space="preserve"> (ce que propose </w:t>
      </w:r>
      <w:r>
        <w:lastRenderedPageBreak/>
        <w:t>théoriquement l’ABC) est une utopie, puisque le découpage stratégique est par nature éphémère.</w:t>
      </w:r>
    </w:p>
    <w:tbl>
      <w:tblPr>
        <w:tblW w:w="7938" w:type="dxa"/>
        <w:tblInd w:w="1701" w:type="dxa"/>
        <w:tblLook w:val="04A0" w:firstRow="1" w:lastRow="0" w:firstColumn="1" w:lastColumn="0" w:noHBand="0" w:noVBand="1"/>
      </w:tblPr>
      <w:tblGrid>
        <w:gridCol w:w="1463"/>
        <w:gridCol w:w="1962"/>
        <w:gridCol w:w="2065"/>
        <w:gridCol w:w="2448"/>
      </w:tblGrid>
      <w:tr w:rsidR="005D07A6" w14:paraId="5E0B4C1B" w14:textId="77777777">
        <w:tc>
          <w:tcPr>
            <w:tcW w:w="975" w:type="dxa"/>
            <w:tcBorders>
              <w:top w:val="nil"/>
              <w:left w:val="nil"/>
              <w:bottom w:val="single" w:sz="4" w:space="0" w:color="auto"/>
              <w:right w:val="single" w:sz="4" w:space="0" w:color="auto"/>
            </w:tcBorders>
            <w:tcMar>
              <w:top w:w="0" w:type="dxa"/>
              <w:left w:w="2" w:type="dxa"/>
              <w:bottom w:w="0" w:type="dxa"/>
              <w:right w:w="2" w:type="dxa"/>
            </w:tcMar>
            <w:hideMark/>
          </w:tcPr>
          <w:p w14:paraId="54DBD5CB" w14:textId="77777777" w:rsidR="005D07A6" w:rsidRDefault="005D07A6"/>
        </w:tc>
        <w:tc>
          <w:tcPr>
            <w:tcW w:w="144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0A5A085" w14:textId="77777777" w:rsidR="005D07A6" w:rsidRDefault="00F42774">
            <w:pPr>
              <w:pStyle w:val="TA1"/>
              <w:jc w:val="center"/>
              <w:rPr>
                <w:rFonts w:eastAsiaTheme="minorEastAsia"/>
              </w:rPr>
            </w:pPr>
            <w:r>
              <w:rPr>
                <w:b/>
                <w:bCs/>
              </w:rPr>
              <w:t>Méthode des centres d’analyse</w:t>
            </w:r>
          </w:p>
        </w:tc>
        <w:tc>
          <w:tcPr>
            <w:tcW w:w="144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D0BC4A4" w14:textId="77777777" w:rsidR="005D07A6" w:rsidRDefault="00F42774">
            <w:pPr>
              <w:pStyle w:val="TA1"/>
              <w:jc w:val="center"/>
              <w:rPr>
                <w:rFonts w:eastAsiaTheme="minorEastAsia"/>
              </w:rPr>
            </w:pPr>
            <w:r>
              <w:rPr>
                <w:b/>
                <w:bCs/>
              </w:rPr>
              <w:t>Méthode ABC</w:t>
            </w:r>
          </w:p>
        </w:tc>
        <w:tc>
          <w:tcPr>
            <w:tcW w:w="216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7839582" w14:textId="77777777" w:rsidR="005D07A6" w:rsidRDefault="00F42774">
            <w:pPr>
              <w:pStyle w:val="TA1"/>
              <w:jc w:val="center"/>
              <w:rPr>
                <w:rFonts w:eastAsiaTheme="minorEastAsia"/>
              </w:rPr>
            </w:pPr>
            <w:r>
              <w:rPr>
                <w:b/>
                <w:bCs/>
              </w:rPr>
              <w:t>Remarques</w:t>
            </w:r>
          </w:p>
        </w:tc>
      </w:tr>
      <w:tr w:rsidR="005D07A6" w14:paraId="77CECD06" w14:textId="77777777">
        <w:tc>
          <w:tcPr>
            <w:tcW w:w="97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2738444" w14:textId="77777777" w:rsidR="005D07A6" w:rsidRDefault="00F42774">
            <w:pPr>
              <w:pStyle w:val="TA1"/>
              <w:rPr>
                <w:rFonts w:eastAsiaTheme="minorEastAsia"/>
              </w:rPr>
            </w:pPr>
            <w:r>
              <w:t>Origine</w:t>
            </w:r>
          </w:p>
        </w:tc>
        <w:tc>
          <w:tcPr>
            <w:tcW w:w="14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4A62A73" w14:textId="77777777" w:rsidR="005D07A6" w:rsidRDefault="00F42774">
            <w:pPr>
              <w:pStyle w:val="TA1"/>
              <w:rPr>
                <w:rFonts w:eastAsiaTheme="minorEastAsia"/>
              </w:rPr>
            </w:pPr>
            <w:r>
              <w:t>La méthode traditionnelle française est décrite dans le PCG de 1947 à 1999.</w:t>
            </w:r>
          </w:p>
        </w:tc>
        <w:tc>
          <w:tcPr>
            <w:tcW w:w="14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5B76076" w14:textId="77777777" w:rsidR="005D07A6" w:rsidRDefault="00F42774">
            <w:pPr>
              <w:pStyle w:val="TA1"/>
              <w:rPr>
                <w:rFonts w:eastAsiaTheme="minorEastAsia"/>
              </w:rPr>
            </w:pPr>
            <w:r>
              <w:t>La méthode ABC est issue de la littérature anglo-saxonne et internationale dans les années 1980.</w:t>
            </w:r>
          </w:p>
        </w:tc>
        <w:tc>
          <w:tcPr>
            <w:tcW w:w="21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6FC4ACF" w14:textId="77777777" w:rsidR="005D07A6" w:rsidRDefault="005D07A6"/>
        </w:tc>
      </w:tr>
      <w:tr w:rsidR="005D07A6" w14:paraId="22D674B3" w14:textId="77777777">
        <w:tc>
          <w:tcPr>
            <w:tcW w:w="97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39C599D" w14:textId="77777777" w:rsidR="005D07A6" w:rsidRDefault="00F42774">
            <w:pPr>
              <w:pStyle w:val="TA1"/>
              <w:rPr>
                <w:rFonts w:eastAsiaTheme="minorEastAsia"/>
              </w:rPr>
            </w:pPr>
            <w:r>
              <w:t>Regroupement des charges indirectes</w:t>
            </w:r>
          </w:p>
        </w:tc>
        <w:tc>
          <w:tcPr>
            <w:tcW w:w="14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026AE62" w14:textId="77777777" w:rsidR="005D07A6" w:rsidRDefault="00F42774">
            <w:pPr>
              <w:pStyle w:val="TA1"/>
              <w:rPr>
                <w:rFonts w:eastAsiaTheme="minorEastAsia"/>
              </w:rPr>
            </w:pPr>
            <w:r>
              <w:t>Un centre d’analyse est un regroupement de charges indirectes homogènes.</w:t>
            </w:r>
          </w:p>
        </w:tc>
        <w:tc>
          <w:tcPr>
            <w:tcW w:w="14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6FCB0FA" w14:textId="77777777" w:rsidR="005D07A6" w:rsidRDefault="00F42774">
            <w:pPr>
              <w:pStyle w:val="TA1"/>
              <w:rPr>
                <w:rFonts w:eastAsiaTheme="minorEastAsia"/>
              </w:rPr>
            </w:pPr>
            <w:r>
              <w:t>Une activité est un ensemble de tâches élémentaires qui consomment des ressources de manière homogène.</w:t>
            </w:r>
          </w:p>
        </w:tc>
        <w:tc>
          <w:tcPr>
            <w:tcW w:w="21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71E5CAF" w14:textId="77777777" w:rsidR="005D07A6" w:rsidRDefault="00F42774">
            <w:pPr>
              <w:pStyle w:val="TA1"/>
              <w:rPr>
                <w:rFonts w:eastAsiaTheme="minorEastAsia"/>
              </w:rPr>
            </w:pPr>
            <w:r>
              <w:t>Les ressources consommées sont des charges, donc dans les deux cas, on regroupe des charges de manière homogène.</w:t>
            </w:r>
          </w:p>
        </w:tc>
      </w:tr>
      <w:tr w:rsidR="005D07A6" w14:paraId="366E6284" w14:textId="77777777">
        <w:tc>
          <w:tcPr>
            <w:tcW w:w="97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847C9AD" w14:textId="77777777" w:rsidR="005D07A6" w:rsidRDefault="00F42774">
            <w:pPr>
              <w:pStyle w:val="TA1"/>
              <w:rPr>
                <w:rFonts w:eastAsiaTheme="minorEastAsia"/>
              </w:rPr>
            </w:pPr>
            <w:r>
              <w:t>Clé de répartition</w:t>
            </w:r>
          </w:p>
        </w:tc>
        <w:tc>
          <w:tcPr>
            <w:tcW w:w="14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510B2BD" w14:textId="77777777" w:rsidR="005D07A6" w:rsidRDefault="00F42774">
            <w:pPr>
              <w:pStyle w:val="TA1"/>
              <w:rPr>
                <w:rFonts w:eastAsiaTheme="minorEastAsia"/>
              </w:rPr>
            </w:pPr>
            <w:r>
              <w:t>Les unités d’œuvre doivent être corrélées à la consommation du centre.</w:t>
            </w:r>
          </w:p>
        </w:tc>
        <w:tc>
          <w:tcPr>
            <w:tcW w:w="14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CA5BBAD" w14:textId="77777777" w:rsidR="005D07A6" w:rsidRDefault="00F42774">
            <w:pPr>
              <w:pStyle w:val="TA1"/>
              <w:rPr>
                <w:rFonts w:eastAsiaTheme="minorEastAsia"/>
              </w:rPr>
            </w:pPr>
            <w:r>
              <w:t>Les inducteurs doivent traduire le lien de causalité entre l’activité et la consommation du centre.</w:t>
            </w:r>
          </w:p>
        </w:tc>
        <w:tc>
          <w:tcPr>
            <w:tcW w:w="21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D1DAC79" w14:textId="77777777" w:rsidR="005D07A6" w:rsidRDefault="00F42774">
            <w:pPr>
              <w:pStyle w:val="TA1"/>
              <w:rPr>
                <w:rFonts w:eastAsiaTheme="minorEastAsia"/>
              </w:rPr>
            </w:pPr>
            <w:r>
              <w:t>D’un point de vue calculatoire, inducteur et unité d’œuvre jouent le même rôle.</w:t>
            </w:r>
          </w:p>
        </w:tc>
      </w:tr>
      <w:tr w:rsidR="005D07A6" w14:paraId="48D0736F" w14:textId="77777777">
        <w:tc>
          <w:tcPr>
            <w:tcW w:w="97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3C64383" w14:textId="77777777" w:rsidR="005D07A6" w:rsidRDefault="00F42774">
            <w:pPr>
              <w:pStyle w:val="TA1"/>
              <w:rPr>
                <w:rFonts w:eastAsiaTheme="minorEastAsia"/>
              </w:rPr>
            </w:pPr>
            <w:r>
              <w:t>Nature des clés de répartition</w:t>
            </w:r>
          </w:p>
        </w:tc>
        <w:tc>
          <w:tcPr>
            <w:tcW w:w="14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818BF19" w14:textId="77777777" w:rsidR="005D07A6" w:rsidRDefault="00F42774">
            <w:pPr>
              <w:pStyle w:val="TA1"/>
              <w:rPr>
                <w:rFonts w:eastAsiaTheme="minorEastAsia"/>
              </w:rPr>
            </w:pPr>
            <w:r>
              <w:t>Pas de préconisation, mais pas d’interdiction non plus.</w:t>
            </w:r>
          </w:p>
        </w:tc>
        <w:tc>
          <w:tcPr>
            <w:tcW w:w="14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867F8FF" w14:textId="77777777" w:rsidR="005D07A6" w:rsidRDefault="00F42774">
            <w:pPr>
              <w:pStyle w:val="TA1"/>
              <w:rPr>
                <w:rFonts w:eastAsiaTheme="minorEastAsia"/>
              </w:rPr>
            </w:pPr>
            <w:r>
              <w:t>L’ABC insiste sur les risques de n’utiliser que des clés volumiques.</w:t>
            </w:r>
          </w:p>
        </w:tc>
        <w:tc>
          <w:tcPr>
            <w:tcW w:w="21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7C84374" w14:textId="77777777" w:rsidR="005D07A6" w:rsidRDefault="00F42774">
            <w:pPr>
              <w:pStyle w:val="TA1"/>
              <w:rPr>
                <w:rFonts w:eastAsiaTheme="minorEastAsia"/>
              </w:rPr>
            </w:pPr>
            <w:r>
              <w:t>En pratique, les clés non volumiques conduisent souvent à des répartitions en deux temps.</w:t>
            </w:r>
          </w:p>
        </w:tc>
      </w:tr>
      <w:tr w:rsidR="005D07A6" w14:paraId="03D253C5" w14:textId="77777777">
        <w:tc>
          <w:tcPr>
            <w:tcW w:w="97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FE94F4C" w14:textId="77777777" w:rsidR="005D07A6" w:rsidRDefault="00F42774">
            <w:pPr>
              <w:pStyle w:val="TA1"/>
              <w:rPr>
                <w:rFonts w:eastAsiaTheme="minorEastAsia"/>
              </w:rPr>
            </w:pPr>
            <w:r>
              <w:t>Regroupements d’activités ou de centres</w:t>
            </w:r>
          </w:p>
        </w:tc>
        <w:tc>
          <w:tcPr>
            <w:tcW w:w="14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4941EFB" w14:textId="77777777" w:rsidR="005D07A6" w:rsidRDefault="00F42774">
            <w:pPr>
              <w:pStyle w:val="TA1"/>
              <w:rPr>
                <w:rFonts w:eastAsiaTheme="minorEastAsia"/>
              </w:rPr>
            </w:pPr>
            <w:r>
              <w:t>La méthode traditionnelle ne parle pas explicitement de regroupement de centres d’analyse par unité d’œuvre commune parce que cela semble évident.</w:t>
            </w:r>
          </w:p>
        </w:tc>
        <w:tc>
          <w:tcPr>
            <w:tcW w:w="14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1754D24" w14:textId="77777777" w:rsidR="005D07A6" w:rsidRDefault="00F42774">
            <w:pPr>
              <w:pStyle w:val="TA1"/>
              <w:rPr>
                <w:rFonts w:eastAsiaTheme="minorEastAsia"/>
              </w:rPr>
            </w:pPr>
            <w:r>
              <w:t>Les auteurs qui parlent d’ABC insistent sur la réunion des activités qui ont le même inducteur.</w:t>
            </w:r>
          </w:p>
        </w:tc>
        <w:tc>
          <w:tcPr>
            <w:tcW w:w="21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C1D1C44" w14:textId="77777777" w:rsidR="005D07A6" w:rsidRDefault="00F42774">
            <w:pPr>
              <w:pStyle w:val="TA1"/>
              <w:rPr>
                <w:rFonts w:eastAsiaTheme="minorEastAsia"/>
              </w:rPr>
            </w:pPr>
            <w:r>
              <w:t>Il n’y a aucune différence entre les deux méthodes. Précisons qu’Émile Rimailho écrivait dans les années 1920 qu’il fallait réunir des sections qui utilisaient la même unité d’œuvre !</w:t>
            </w:r>
          </w:p>
        </w:tc>
      </w:tr>
      <w:tr w:rsidR="005D07A6" w14:paraId="76EE2C70" w14:textId="77777777">
        <w:tc>
          <w:tcPr>
            <w:tcW w:w="97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6E451CF" w14:textId="77777777" w:rsidR="005D07A6" w:rsidRDefault="00F42774">
            <w:pPr>
              <w:pStyle w:val="TA1"/>
              <w:rPr>
                <w:rFonts w:eastAsiaTheme="minorEastAsia"/>
              </w:rPr>
            </w:pPr>
            <w:r>
              <w:t>Évaluation des ressources</w:t>
            </w:r>
          </w:p>
        </w:tc>
        <w:tc>
          <w:tcPr>
            <w:tcW w:w="14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023303D" w14:textId="77777777" w:rsidR="005D07A6" w:rsidRDefault="00F42774">
            <w:pPr>
              <w:pStyle w:val="TA1"/>
              <w:rPr>
                <w:rFonts w:eastAsiaTheme="minorEastAsia"/>
              </w:rPr>
            </w:pPr>
            <w:r>
              <w:t>Le pragmatisme conduit souvent à partir du compte de résultat.</w:t>
            </w:r>
          </w:p>
        </w:tc>
        <w:tc>
          <w:tcPr>
            <w:tcW w:w="14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0FE7D4A" w14:textId="77777777" w:rsidR="005D07A6" w:rsidRDefault="00F42774">
            <w:pPr>
              <w:pStyle w:val="TA1"/>
              <w:rPr>
                <w:rFonts w:eastAsiaTheme="minorEastAsia"/>
              </w:rPr>
            </w:pPr>
            <w:r>
              <w:t>La théorie dit qu’il faut partir d’une carte activités/inducteurs.</w:t>
            </w:r>
          </w:p>
        </w:tc>
        <w:tc>
          <w:tcPr>
            <w:tcW w:w="21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E192D5E" w14:textId="77777777" w:rsidR="005D07A6" w:rsidRDefault="00F42774">
            <w:pPr>
              <w:pStyle w:val="TA1"/>
              <w:rPr>
                <w:rFonts w:eastAsiaTheme="minorEastAsia"/>
              </w:rPr>
            </w:pPr>
            <w:r>
              <w:t>En pratique, les activités sont généralement des redécoupages des centres d’analyse.</w:t>
            </w:r>
          </w:p>
        </w:tc>
      </w:tr>
      <w:tr w:rsidR="005D07A6" w14:paraId="11A01027" w14:textId="77777777">
        <w:tc>
          <w:tcPr>
            <w:tcW w:w="97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A2BB4DB" w14:textId="77777777" w:rsidR="005D07A6" w:rsidRDefault="00F42774">
            <w:pPr>
              <w:pStyle w:val="TA1"/>
              <w:rPr>
                <w:rFonts w:eastAsiaTheme="minorEastAsia"/>
              </w:rPr>
            </w:pPr>
            <w:r>
              <w:t>Répartition en deux temps</w:t>
            </w:r>
          </w:p>
        </w:tc>
        <w:tc>
          <w:tcPr>
            <w:tcW w:w="14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9C60C40" w14:textId="77777777" w:rsidR="005D07A6" w:rsidRDefault="00F42774">
            <w:pPr>
              <w:pStyle w:val="TA1"/>
              <w:rPr>
                <w:rFonts w:eastAsiaTheme="minorEastAsia"/>
              </w:rPr>
            </w:pPr>
            <w:r>
              <w:t>La méthode des centres d’analyse propose de répartir les centres auxiliaires sur les centres principaux.</w:t>
            </w:r>
          </w:p>
        </w:tc>
        <w:tc>
          <w:tcPr>
            <w:tcW w:w="14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DD0D328" w14:textId="77777777" w:rsidR="005D07A6" w:rsidRDefault="00F42774">
            <w:pPr>
              <w:pStyle w:val="TA1"/>
              <w:rPr>
                <w:rFonts w:eastAsiaTheme="minorEastAsia"/>
              </w:rPr>
            </w:pPr>
            <w:r>
              <w:t>Les activités ne doivent pas être réparties les unes sur les autres car l’accent est mis sur l’importance d’identifier des inducteurs qui traduisent le lien de causalité.</w:t>
            </w:r>
          </w:p>
        </w:tc>
        <w:tc>
          <w:tcPr>
            <w:tcW w:w="21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F41928C" w14:textId="77777777" w:rsidR="005D07A6" w:rsidRDefault="00F42774">
            <w:pPr>
              <w:pStyle w:val="TA1"/>
              <w:rPr>
                <w:rFonts w:eastAsiaTheme="minorEastAsia"/>
              </w:rPr>
            </w:pPr>
            <w:r>
              <w:t>En pratique, il n’est pas rare que des activités très transversales (comme l’administration…) soient réparties selon un inducteur par défaut, souvent appelé « valeur ajoutée » qui revient à imputer les charges au prorata du montant des autres charges indirectes.</w:t>
            </w:r>
          </w:p>
        </w:tc>
      </w:tr>
    </w:tbl>
    <w:p w14:paraId="4498756B" w14:textId="77777777" w:rsidR="005D07A6" w:rsidRDefault="00F42774">
      <w:pPr>
        <w:pStyle w:val="T1"/>
        <w:rPr>
          <w:rFonts w:eastAsiaTheme="minorEastAsia"/>
        </w:rPr>
      </w:pPr>
      <w:r>
        <w:t>Partie 4. L’imputation rationnelle des charges fixes</w:t>
      </w:r>
    </w:p>
    <w:p w14:paraId="27DD6E20" w14:textId="77777777" w:rsidR="005D07A6" w:rsidRDefault="00F42774">
      <w:pPr>
        <w:pStyle w:val="debutfilet"/>
      </w:pPr>
      <w:r>
        <w:t>Remarque</w:t>
      </w:r>
    </w:p>
    <w:p w14:paraId="74D69CCF" w14:textId="77777777" w:rsidR="005D07A6" w:rsidRDefault="00F42774">
      <w:pPr>
        <w:pStyle w:val="LibelleRubrique"/>
      </w:pPr>
      <w:r>
        <w:t>Remarque</w:t>
      </w:r>
    </w:p>
    <w:p w14:paraId="684AB393" w14:textId="77777777" w:rsidR="005D07A6" w:rsidRDefault="00F42774">
      <w:pPr>
        <w:pStyle w:val="CT"/>
      </w:pPr>
      <w:r>
        <w:rPr>
          <w:b/>
          <w:bCs/>
        </w:rPr>
        <w:t>Imputation rationnelle et méthode de coût complet :</w:t>
      </w:r>
      <w:r>
        <w:t xml:space="preserve"> l’imputation rationnelle est totalement indépendante du choix de méthode de calcul du coût complet. Elle peut être menée (et doit l’être en cas de sous-activité pour évaluer les stocks) aussi bien en méthode ABC qu’en méthode des centres d’analyse.</w:t>
      </w:r>
    </w:p>
    <w:p w14:paraId="14D7EA58" w14:textId="77777777" w:rsidR="005D07A6" w:rsidRDefault="00F42774">
      <w:pPr>
        <w:pStyle w:val="CT"/>
      </w:pPr>
      <w:r>
        <w:t>Comme l’imputation rationnelle est décrite dans le PCG, la plupart des manuels la présentent dans le prolongement de la méthode des centres d’analyse. Cela ne signifie pas pour autant que l’imputation rationnelle se limite à la méthode des centres d’analyse.</w:t>
      </w:r>
    </w:p>
    <w:p w14:paraId="3A45E093" w14:textId="77777777" w:rsidR="005D07A6" w:rsidRDefault="00F42774">
      <w:pPr>
        <w:pStyle w:val="finfilet"/>
      </w:pPr>
      <w:r>
        <w:lastRenderedPageBreak/>
        <w:t>Fin Remarque</w:t>
      </w:r>
    </w:p>
    <w:p w14:paraId="25C5407E" w14:textId="77777777" w:rsidR="005D07A6" w:rsidRDefault="00F42774">
      <w:pPr>
        <w:pStyle w:val="T2"/>
      </w:pPr>
      <w:r>
        <w:t>Chapitre 1.</w:t>
      </w:r>
      <w:r>
        <w:tab/>
        <w:t>Le principe de l’imputation rationnelle</w:t>
      </w:r>
    </w:p>
    <w:p w14:paraId="1B47FA7E" w14:textId="77777777" w:rsidR="005D07A6" w:rsidRDefault="00F42774">
      <w:pPr>
        <w:pStyle w:val="debutfilet"/>
      </w:pPr>
      <w:r>
        <w:t>Competences_attendues</w:t>
      </w:r>
    </w:p>
    <w:p w14:paraId="336169A6" w14:textId="77777777" w:rsidR="005D07A6" w:rsidRDefault="00F42774">
      <w:pPr>
        <w:pStyle w:val="ET"/>
      </w:pPr>
      <w:r>
        <w:t>Calculer et interpréter des coûts, des marges et des résultats dans un contexte donné.</w:t>
      </w:r>
    </w:p>
    <w:p w14:paraId="3B1ECFC9" w14:textId="77777777" w:rsidR="005D07A6" w:rsidRDefault="00F42774">
      <w:pPr>
        <w:pStyle w:val="ET"/>
      </w:pPr>
      <w:r>
        <w:t>Apprécier les intérêts et limites des méthodes de calcul de coûts afin de choisir celle(s) adaptée(s) au contexte de gestion.</w:t>
      </w:r>
    </w:p>
    <w:p w14:paraId="28161AA0" w14:textId="77777777" w:rsidR="005D07A6" w:rsidRDefault="00F42774">
      <w:pPr>
        <w:pStyle w:val="finfilet"/>
      </w:pPr>
      <w:r>
        <w:t>Fin Competences_attendues</w:t>
      </w:r>
    </w:p>
    <w:p w14:paraId="73084656" w14:textId="77777777" w:rsidR="005D07A6" w:rsidRDefault="00F42774">
      <w:pPr>
        <w:pStyle w:val="T3"/>
      </w:pPr>
      <w:r>
        <w:t>section 1.</w:t>
      </w:r>
      <w:r>
        <w:tab/>
        <w:t>Le comportement du coût unitaire en fonction de l’activité</w:t>
      </w:r>
    </w:p>
    <w:p w14:paraId="1F7F45C2" w14:textId="77777777" w:rsidR="005D07A6" w:rsidRDefault="00F42774">
      <w:pPr>
        <w:pStyle w:val="CTEspDessous"/>
      </w:pPr>
      <w:r>
        <w:t xml:space="preserve">Dans tout ce qui précède, on a supposé que le </w:t>
      </w:r>
      <w:r>
        <w:rPr>
          <w:b/>
          <w:bCs/>
        </w:rPr>
        <w:t>niveau d’activité</w:t>
      </w:r>
      <w:r>
        <w:rPr>
          <w:highlight w:val="green"/>
        </w:rPr>
        <w:fldChar w:fldCharType="begin"/>
      </w:r>
      <w:r>
        <w:rPr>
          <w:highlight w:val="green"/>
        </w:rPr>
        <w:instrText xml:space="preserve"> XE "</w:instrText>
      </w:r>
      <w:r>
        <w:rPr>
          <w:noProof/>
          <w:highlight w:val="green"/>
        </w:rPr>
        <w:instrText>Niveau d’activité</w:instrText>
      </w:r>
      <w:r>
        <w:rPr>
          <w:highlight w:val="green"/>
        </w:rPr>
        <w:instrText xml:space="preserve">" </w:instrText>
      </w:r>
      <w:r>
        <w:rPr>
          <w:highlight w:val="green"/>
        </w:rPr>
        <w:fldChar w:fldCharType="end"/>
      </w:r>
      <w:r>
        <w:t xml:space="preserve"> de l’entreprise était « normal », c’est-à-dire que l’on n’était ni en période de </w:t>
      </w:r>
      <w:r>
        <w:rPr>
          <w:b/>
          <w:bCs/>
        </w:rPr>
        <w:t>sous-activité</w:t>
      </w:r>
      <w:r>
        <w:rPr>
          <w:highlight w:val="green"/>
        </w:rPr>
        <w:fldChar w:fldCharType="begin"/>
      </w:r>
      <w:r>
        <w:rPr>
          <w:highlight w:val="green"/>
        </w:rPr>
        <w:instrText xml:space="preserve"> XE "</w:instrText>
      </w:r>
      <w:r>
        <w:rPr>
          <w:noProof/>
          <w:highlight w:val="green"/>
        </w:rPr>
        <w:instrText>Sous-activité</w:instrText>
      </w:r>
      <w:r>
        <w:rPr>
          <w:highlight w:val="green"/>
        </w:rPr>
        <w:instrText xml:space="preserve">" </w:instrText>
      </w:r>
      <w:r>
        <w:rPr>
          <w:highlight w:val="green"/>
        </w:rPr>
        <w:fldChar w:fldCharType="end"/>
      </w:r>
      <w:r>
        <w:t xml:space="preserve">, ni en période de </w:t>
      </w:r>
      <w:r>
        <w:rPr>
          <w:b/>
          <w:bCs/>
        </w:rPr>
        <w:t>suractivité</w:t>
      </w:r>
      <w:r>
        <w:rPr>
          <w:highlight w:val="green"/>
        </w:rPr>
        <w:fldChar w:fldCharType="begin"/>
      </w:r>
      <w:r>
        <w:rPr>
          <w:highlight w:val="green"/>
        </w:rPr>
        <w:instrText xml:space="preserve"> XE "</w:instrText>
      </w:r>
      <w:r>
        <w:rPr>
          <w:noProof/>
          <w:highlight w:val="green"/>
        </w:rPr>
        <w:instrText>Suractivité</w:instrText>
      </w:r>
      <w:r>
        <w:rPr>
          <w:highlight w:val="green"/>
        </w:rPr>
        <w:instrText xml:space="preserve">" </w:instrText>
      </w:r>
      <w:r>
        <w:rPr>
          <w:highlight w:val="green"/>
        </w:rPr>
        <w:fldChar w:fldCharType="end"/>
      </w:r>
      <w:r>
        <w:t>. Il était alors possible de ne pas prendre en compte le critère de variabilité, de ne pas faire de distinction entre les charges fixes et les charges variables, de ne retenir dans le calcul des coûts complets que deux catégories de charges, les charges directes et les charges indirectes. Mais, dans le cas général, le niveau d’activité a un impact très important sur les coûts unitaires, et pour que ceux-ci aient un sens et soient utiles pour le contrôle de gestion, il est nécessaire de traiter différemment les charges fixes et les charges variables.</w:t>
      </w:r>
    </w:p>
    <w:p w14:paraId="70A3E855" w14:textId="77777777" w:rsidR="005D07A6" w:rsidRDefault="00F42774">
      <w:pPr>
        <w:pStyle w:val="debutfiletr"/>
      </w:pPr>
      <w:r>
        <w:t>Application _n-15</w:t>
      </w:r>
    </w:p>
    <w:p w14:paraId="5B15024F" w14:textId="77777777" w:rsidR="005D07A6" w:rsidRDefault="00F42774">
      <w:pPr>
        <w:pStyle w:val="CT"/>
      </w:pPr>
      <w:r>
        <w:t>Supposons une usine qui a été construite pour fabriquer 100 tonnes d’un produit P par mois. La structure des coûts est la suivante, pour une production de 100 tonnes : 200 000 € de charges variables (matières premières, main-d’œuvre, énergie) et 100 000 € de charges fixes (salaires de l’encadrement, amortissement des machines).</w:t>
      </w:r>
    </w:p>
    <w:p w14:paraId="50066D3C" w14:textId="77777777" w:rsidR="005D07A6" w:rsidRDefault="00F42774">
      <w:pPr>
        <w:pStyle w:val="CT"/>
      </w:pPr>
      <w:r>
        <w:t>En période d’activité normale, le coût de production est de :</w:t>
      </w:r>
    </w:p>
    <w:p w14:paraId="21997D27" w14:textId="77777777" w:rsidR="005D07A6" w:rsidRDefault="00F42774">
      <w:pPr>
        <w:pStyle w:val="CT"/>
      </w:pPr>
      <w:r>
        <w:t>(200 000 + 100 000)/100 = 3 000 € la tonne, avec un coût variable unitaire de 2 000 quel que soit le niveau d’activité, et un coût fixe unitaire de 1 000 qui, lui, dépend du niveau d’activité.</w:t>
      </w:r>
    </w:p>
    <w:p w14:paraId="1862F94B" w14:textId="77777777" w:rsidR="005D07A6" w:rsidRDefault="00F42774">
      <w:pPr>
        <w:pStyle w:val="CT"/>
      </w:pPr>
      <w:r>
        <w:t>Si le niveau d’activité baisse à 80 tonnes (soit une sous-activité de 20 % par rapport à la normale), les charges variables, qui sont proportionnelles à l’activité, vont baisser pour se fixer à : 200 000 × 0,8 = 160 000 ; en revanche, les charges fixes vont… rester fixes. Le coût à la tonne sera dès lors : (160 000 + 100 000)/80 = 3 250 €. Mécaniquement, la baisse du niveau d’activité fait grimper le coût unitaire.</w:t>
      </w:r>
    </w:p>
    <w:p w14:paraId="28026799" w14:textId="77777777" w:rsidR="005D07A6" w:rsidRDefault="00F42774">
      <w:pPr>
        <w:pStyle w:val="CT"/>
      </w:pPr>
      <w:r>
        <w:t>Inversement, si l’entreprise doit faire face à une augmentation conjoncturelle de ses ventes et monte sa production à 120 tonnes, le coût unitaire baisse à :</w:t>
      </w:r>
    </w:p>
    <w:p w14:paraId="7F4D18A4" w14:textId="77777777" w:rsidR="005D07A6" w:rsidRDefault="00F42774">
      <w:pPr>
        <w:pStyle w:val="CT"/>
      </w:pPr>
      <w:r>
        <w:t>[(200 000 × 1,2) + 100 000]/120 = 2 833 € la tonne</w:t>
      </w:r>
    </w:p>
    <w:p w14:paraId="4BB75765" w14:textId="77777777" w:rsidR="005D07A6" w:rsidRDefault="00F42774">
      <w:pPr>
        <w:pStyle w:val="CT"/>
      </w:pPr>
      <w:r>
        <w:t>Plus généralement, le coût unitaire réel CU est une fonction de l’activité réelle AR en tonnes :</w:t>
      </w:r>
    </w:p>
    <w:p w14:paraId="53A0956E" w14:textId="77777777" w:rsidR="005D07A6" w:rsidRDefault="00F42774">
      <w:pPr>
        <w:pStyle w:val="CT"/>
      </w:pPr>
      <w:r>
        <w:t>CU = 2 000 + (100 000/AR)</w:t>
      </w:r>
    </w:p>
    <w:p w14:paraId="529191B3" w14:textId="77777777" w:rsidR="005D07A6" w:rsidRDefault="00F42774">
      <w:pPr>
        <w:pStyle w:val="CT"/>
      </w:pPr>
      <w:r>
        <w:t>Quand AR tend vers zéro, CU tend asymptotiquement vers l’infini, et quand AR tend vers l’infini, le coût fixe unitaire devient négligeable, et CU tend asymptotiquement vers le coût variable unitaire.</w:t>
      </w:r>
    </w:p>
    <w:p w14:paraId="358F59B8" w14:textId="77777777" w:rsidR="005D07A6" w:rsidRDefault="00F42774">
      <w:pPr>
        <w:pStyle w:val="CT"/>
      </w:pPr>
      <w:r>
        <w:t>Nous pouvons représenter graphiquement le phénomène de la façon suivante, par une branche d’hyperbole :</w:t>
      </w:r>
    </w:p>
    <w:p w14:paraId="5771AB94" w14:textId="77777777" w:rsidR="005D07A6" w:rsidRDefault="00F42774">
      <w:pPr>
        <w:pStyle w:val="CT"/>
        <w:jc w:val="center"/>
      </w:pPr>
      <w:r>
        <w:rPr>
          <w:noProof/>
        </w:rPr>
        <w:lastRenderedPageBreak/>
        <w:drawing>
          <wp:inline distT="0" distB="0" distL="0" distR="0" wp14:anchorId="425EAD34" wp14:editId="45278692">
            <wp:extent cx="4797968" cy="3737172"/>
            <wp:effectExtent l="0" t="0" r="3175" b="0"/>
            <wp:docPr id="27" name="Image 27" descr="Pas de visualisation pour [UE202526_433_S1_fichiers/UE121S1_002.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as de visualisation pour [UE202526_433_S1_fichiers/UE121S1_002.png] !"/>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797968" cy="3737172"/>
                    </a:xfrm>
                    <a:prstGeom prst="rect">
                      <a:avLst/>
                    </a:prstGeom>
                    <a:noFill/>
                    <a:ln>
                      <a:noFill/>
                    </a:ln>
                  </pic:spPr>
                </pic:pic>
              </a:graphicData>
            </a:graphic>
          </wp:inline>
        </w:drawing>
      </w:r>
      <w:r>
        <w:t>&lt;image&gt;UE121S1_002.png&lt;/image&gt;</w:t>
      </w:r>
    </w:p>
    <w:p w14:paraId="3ED02E66" w14:textId="77777777" w:rsidR="005D07A6" w:rsidRDefault="00F42774">
      <w:pPr>
        <w:pStyle w:val="finfiletr"/>
      </w:pPr>
      <w:r>
        <w:t>Fin Application</w:t>
      </w:r>
    </w:p>
    <w:p w14:paraId="5390CC88" w14:textId="77777777" w:rsidR="005D07A6" w:rsidRDefault="00F42774">
      <w:pPr>
        <w:pStyle w:val="T3"/>
      </w:pPr>
      <w:r>
        <w:t>section 2.</w:t>
      </w:r>
      <w:r>
        <w:tab/>
        <w:t xml:space="preserve">La difficulté d’interpréter les résultats </w:t>
      </w:r>
    </w:p>
    <w:p w14:paraId="75035033" w14:textId="77777777" w:rsidR="005D07A6" w:rsidRDefault="00F42774">
      <w:pPr>
        <w:pStyle w:val="debutfiletr"/>
      </w:pPr>
      <w:r>
        <w:t>Application _n-15_Suite</w:t>
      </w:r>
    </w:p>
    <w:p w14:paraId="1B28A9B8" w14:textId="77777777" w:rsidR="005D07A6" w:rsidRDefault="00F42774">
      <w:pPr>
        <w:pStyle w:val="CT"/>
      </w:pPr>
      <w:r>
        <w:t>Supposons que le produit P soit vendu 3 200 € la tonne.</w:t>
      </w:r>
    </w:p>
    <w:p w14:paraId="0203AE9F" w14:textId="77777777" w:rsidR="005D07A6" w:rsidRDefault="00F42774">
      <w:pPr>
        <w:pStyle w:val="CT"/>
      </w:pPr>
      <w:r>
        <w:t>Quand l’activité est normale, pas de problème. Le résultat est de :</w:t>
      </w:r>
    </w:p>
    <w:p w14:paraId="624EB4C5" w14:textId="77777777" w:rsidR="005D07A6" w:rsidRDefault="00F42774">
      <w:pPr>
        <w:pStyle w:val="CT"/>
      </w:pPr>
      <w:r>
        <w:t>(100 × 3 200) – (200 000 + 100 000)</w:t>
      </w:r>
    </w:p>
    <w:p w14:paraId="0079CD74" w14:textId="77777777" w:rsidR="005D07A6" w:rsidRDefault="00F42774">
      <w:pPr>
        <w:pStyle w:val="CT"/>
      </w:pPr>
      <w:r>
        <w:t>= 320 000 – 300 000</w:t>
      </w:r>
    </w:p>
    <w:p w14:paraId="5BCB8420" w14:textId="77777777" w:rsidR="005D07A6" w:rsidRDefault="00F42774">
      <w:pPr>
        <w:pStyle w:val="CT"/>
      </w:pPr>
      <w:r>
        <w:t>= (+) 20 000</w:t>
      </w:r>
    </w:p>
    <w:p w14:paraId="2998A72E" w14:textId="77777777" w:rsidR="005D07A6" w:rsidRDefault="00F42774">
      <w:pPr>
        <w:pStyle w:val="CT"/>
      </w:pPr>
      <w:r>
        <w:t>Il n’y a pas de difficulté particulière d’interprétation : le résultat est positif, l’activité est rentable.</w:t>
      </w:r>
    </w:p>
    <w:p w14:paraId="60524FB3" w14:textId="77777777" w:rsidR="005D07A6" w:rsidRDefault="00F42774">
      <w:pPr>
        <w:pStyle w:val="CT"/>
      </w:pPr>
      <w:r>
        <w:t>En revanche, quand l’activité est de 80 tonnes, le résultat est négatif :</w:t>
      </w:r>
    </w:p>
    <w:p w14:paraId="50C86483" w14:textId="77777777" w:rsidR="005D07A6" w:rsidRDefault="00F42774">
      <w:pPr>
        <w:pStyle w:val="CT"/>
      </w:pPr>
      <w:r>
        <w:t>(80 × 3 200) – (160 000 + 100 000) = (–) 4 000</w:t>
      </w:r>
    </w:p>
    <w:p w14:paraId="32C4D14E" w14:textId="77777777" w:rsidR="005D07A6" w:rsidRDefault="00F42774">
      <w:pPr>
        <w:pStyle w:val="CT"/>
      </w:pPr>
      <w:r>
        <w:t>Mais comment interpréter ce résultat ? Le produit est-il « intrinsèquement » un mauvais produit, auquel cas il faut arrêter la fabrication et se reconvertir dans une autre activité, ou « restructurer » l’usine, ou bien le produit est-il intrinsèquement rentable, la perte étant due conjoncturellement à la sous-activité ? En fait, on ne peut pas conclure, car le résultat déficitaire est la somme algébrique de deux éléments, le résultat analytique calculé dans des conditions normales d’activité, et un « coût de la sous-activité ». La méthode de l’imputation rationnelle a justement pour but de pouvoir exprimer cette somme algébrique.</w:t>
      </w:r>
    </w:p>
    <w:p w14:paraId="439E5D66" w14:textId="77777777" w:rsidR="005D07A6" w:rsidRDefault="00F42774">
      <w:pPr>
        <w:pStyle w:val="CT"/>
      </w:pPr>
      <w:r>
        <w:t>Inversement, dans l’hypothèse d’une suractivité de 20 %, le résultat est positif :</w:t>
      </w:r>
    </w:p>
    <w:p w14:paraId="2D71F782" w14:textId="77777777" w:rsidR="005D07A6" w:rsidRDefault="00F42774">
      <w:pPr>
        <w:pStyle w:val="CT"/>
      </w:pPr>
      <w:r>
        <w:t>(120 × 3 200) – (240 000 + 100 000) = (+) 44 000</w:t>
      </w:r>
    </w:p>
    <w:p w14:paraId="08310DD2" w14:textId="77777777" w:rsidR="005D07A6" w:rsidRDefault="00F42774">
      <w:pPr>
        <w:pStyle w:val="CT"/>
      </w:pPr>
      <w:r>
        <w:t xml:space="preserve">Mais doit-on pour autant se réjouir de ce résultat qui est très bon ? Rien n’est moins sûr, car si l’outil de production a été conçu pour une activité normale de 100 tonnes, cela signifie que la capacité physique de production est certes supérieure (sinon, il aurait été impossible de produire 120 tonnes), mais elle a été voulue ainsi pour, par exemple, avoir un peu de marge pour les travaux d’entretien, de maintenance, etc. La suractivité est </w:t>
      </w:r>
      <w:r>
        <w:lastRenderedPageBreak/>
        <w:t xml:space="preserve">anormale, elle n’est pas saine, car elle se fait au détriment de l’entretien, de la sécurité par exemple : on est en train de « tirer sur la corde », qui risque de se rompre… Dans ce cas de figure, les accidents du travail risquent d’être plus fréquents, les défauts de fabrication plus nombreux. Et surtout, l’augmentation du résultat n’est que conjoncturelle, on ne peut pas « compter dessus » à moyen terme. </w:t>
      </w:r>
      <w:r>
        <w:rPr>
          <w:b/>
          <w:bCs/>
        </w:rPr>
        <w:t>Il faut évaluer dans ce cas de figure le « gain de suractivité » qui ne sera pas récurrent.</w:t>
      </w:r>
      <w:r>
        <w:t xml:space="preserve"> Et si l’augmentation n’est pas conjoncturelle, le contrôle de gestion doit fournir un « signal » aux dirigeants : il faut envisager d’investir, d’augmenter la capacité de production.</w:t>
      </w:r>
    </w:p>
    <w:p w14:paraId="5CEBF1BA" w14:textId="77777777" w:rsidR="005D07A6" w:rsidRDefault="00F42774">
      <w:pPr>
        <w:pStyle w:val="finfiletr"/>
      </w:pPr>
      <w:r>
        <w:t>Fin Application</w:t>
      </w:r>
    </w:p>
    <w:p w14:paraId="62A54E80" w14:textId="77777777" w:rsidR="005D07A6" w:rsidRDefault="00F42774">
      <w:pPr>
        <w:pStyle w:val="CTEspDessous"/>
      </w:pPr>
      <w:r>
        <w:t>C’est le même problème que pour un individu, un ouvrier par exemple, qui gagne très bien sa vie, mais en faisant beaucoup d’heures supplémentaires, ou en ayant un second métier la nuit ou le week-end. La situation n’est pas saine, car à court terme il gagne plus, mais au prix d’un sacrifice de sa santé ou de sa vie de famille. À long terme, il devrait envisager une autre stratégie (chercher un travail mieux payé, être « mobile » sur le plan géographique, émigrer, se mettre à son compte, suivre des cours du soir pour augmenter sa qualification…).</w:t>
      </w:r>
    </w:p>
    <w:p w14:paraId="7AC16DD9" w14:textId="77777777" w:rsidR="005D07A6" w:rsidRDefault="00F42774">
      <w:pPr>
        <w:pStyle w:val="CTEspDessous"/>
      </w:pPr>
      <w:r>
        <w:t>Bref, la sous-activité n’est pas souhaitable, mais la suractivité non plus.</w:t>
      </w:r>
    </w:p>
    <w:p w14:paraId="69A00681" w14:textId="77777777" w:rsidR="005D07A6" w:rsidRDefault="00F42774">
      <w:pPr>
        <w:pStyle w:val="CTEspDessous"/>
      </w:pPr>
      <w:r>
        <w:t xml:space="preserve">La comptabilité de gestion doit s’organiser pour être en mesure d’évaluer les coûts de sous-activité comme les gains de suractivité. </w:t>
      </w:r>
    </w:p>
    <w:p w14:paraId="3B2679A0" w14:textId="77777777" w:rsidR="005D07A6" w:rsidRDefault="00F42774">
      <w:pPr>
        <w:pStyle w:val="CTEspDessous"/>
      </w:pPr>
      <w:r>
        <w:t>Pour ce faire, on peut perfectionner la méthode des coûts complets en n’incorporant pas les frais fixes réels « tels quels », mais en les multipliant par un « </w:t>
      </w:r>
      <w:r>
        <w:rPr>
          <w:b/>
          <w:bCs/>
        </w:rPr>
        <w:t>coefficient d’activité</w:t>
      </w:r>
      <w:r>
        <w:rPr>
          <w:highlight w:val="green"/>
        </w:rPr>
        <w:fldChar w:fldCharType="begin"/>
      </w:r>
      <w:r>
        <w:rPr>
          <w:highlight w:val="green"/>
        </w:rPr>
        <w:instrText xml:space="preserve"> XE "</w:instrText>
      </w:r>
      <w:r>
        <w:rPr>
          <w:noProof/>
          <w:highlight w:val="green"/>
        </w:rPr>
        <w:instrText>Coefficient</w:instrText>
      </w:r>
      <w:r>
        <w:rPr>
          <w:highlight w:val="green"/>
        </w:rPr>
        <w:instrText>:</w:instrText>
      </w:r>
      <w:r>
        <w:rPr>
          <w:noProof/>
          <w:highlight w:val="green"/>
        </w:rPr>
        <w:instrText>– d’activité</w:instrText>
      </w:r>
      <w:r>
        <w:rPr>
          <w:highlight w:val="green"/>
        </w:rPr>
        <w:instrText xml:space="preserve">" </w:instrText>
      </w:r>
      <w:r>
        <w:rPr>
          <w:highlight w:val="green"/>
        </w:rPr>
        <w:fldChar w:fldCharType="end"/>
      </w:r>
      <w:r>
        <w:t> » ou « </w:t>
      </w:r>
      <w:r>
        <w:rPr>
          <w:b/>
          <w:bCs/>
        </w:rPr>
        <w:t>coefficient d’imputation rationnelle</w:t>
      </w:r>
      <w:r>
        <w:rPr>
          <w:highlight w:val="green"/>
        </w:rPr>
        <w:fldChar w:fldCharType="begin"/>
      </w:r>
      <w:r>
        <w:rPr>
          <w:highlight w:val="green"/>
        </w:rPr>
        <w:instrText xml:space="preserve"> XE "</w:instrText>
      </w:r>
      <w:r>
        <w:rPr>
          <w:noProof/>
          <w:highlight w:val="green"/>
        </w:rPr>
        <w:instrText>Coefficient</w:instrText>
      </w:r>
      <w:r>
        <w:rPr>
          <w:highlight w:val="green"/>
        </w:rPr>
        <w:instrText>:</w:instrText>
      </w:r>
      <w:r>
        <w:rPr>
          <w:noProof/>
          <w:highlight w:val="green"/>
        </w:rPr>
        <w:instrText>– d’imputation rationnelle</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IRCF (imputation rationnelle des coûts fixes)</w:instrText>
      </w:r>
      <w:r>
        <w:rPr>
          <w:highlight w:val="green"/>
        </w:rPr>
        <w:instrText xml:space="preserve">" </w:instrText>
      </w:r>
      <w:r>
        <w:rPr>
          <w:highlight w:val="green"/>
        </w:rPr>
        <w:fldChar w:fldCharType="end"/>
      </w:r>
      <w:r>
        <w:t xml:space="preserve"> » (d’où le nom de la méthode) défini par le rapport : </w:t>
      </w:r>
      <w:r>
        <w:rPr>
          <w:b/>
          <w:bCs/>
        </w:rPr>
        <w:t>activité réelle/activité normale.</w:t>
      </w:r>
    </w:p>
    <w:p w14:paraId="4E14C524" w14:textId="77777777" w:rsidR="005D07A6" w:rsidRDefault="00F42774">
      <w:pPr>
        <w:pStyle w:val="T2"/>
      </w:pPr>
      <w:r>
        <w:t>Chapitre 2.</w:t>
      </w:r>
      <w:r>
        <w:tab/>
        <w:t>Le coût d’imputation rationnelle</w:t>
      </w:r>
    </w:p>
    <w:p w14:paraId="0DDBE400" w14:textId="77777777" w:rsidR="005D07A6" w:rsidRDefault="00F42774">
      <w:pPr>
        <w:pStyle w:val="debutfilet"/>
      </w:pPr>
      <w:r>
        <w:t>Competences_attendues</w:t>
      </w:r>
    </w:p>
    <w:p w14:paraId="47C69962" w14:textId="77777777" w:rsidR="005D07A6" w:rsidRDefault="00F42774">
      <w:pPr>
        <w:pStyle w:val="ET"/>
      </w:pPr>
      <w:r>
        <w:t>Calculer et interpréter des coûts, des marges et des résultats dans un contexte donné.</w:t>
      </w:r>
    </w:p>
    <w:p w14:paraId="28F72616" w14:textId="77777777" w:rsidR="005D07A6" w:rsidRDefault="00F42774">
      <w:pPr>
        <w:pStyle w:val="ET"/>
      </w:pPr>
      <w:r>
        <w:t>Apprécier les intérêts et limites des méthodes de calcul de coûts afin de choisir celle(s) adaptée(s) au contexte de gestion.</w:t>
      </w:r>
    </w:p>
    <w:p w14:paraId="2C7CD988" w14:textId="77777777" w:rsidR="005D07A6" w:rsidRDefault="00F42774">
      <w:pPr>
        <w:pStyle w:val="finfilet"/>
      </w:pPr>
      <w:r>
        <w:t>Fin Competences_attendues</w:t>
      </w:r>
    </w:p>
    <w:p w14:paraId="4CB21172" w14:textId="77777777" w:rsidR="005D07A6" w:rsidRDefault="00F42774">
      <w:pPr>
        <w:pStyle w:val="T3"/>
      </w:pPr>
      <w:r>
        <w:t>section 1.</w:t>
      </w:r>
      <w:r>
        <w:tab/>
        <w:t>La différence d’imputation rationnelle et l’analyse des résultats</w:t>
      </w:r>
    </w:p>
    <w:p w14:paraId="6654107D" w14:textId="77777777" w:rsidR="005D07A6" w:rsidRDefault="00F42774">
      <w:pPr>
        <w:pStyle w:val="CTEspDessous"/>
      </w:pPr>
      <w:r>
        <w:t>Le coût total d’imputation rationnel est :</w:t>
      </w:r>
    </w:p>
    <w:p w14:paraId="42096F97" w14:textId="77777777" w:rsidR="005D07A6" w:rsidRDefault="00F42774">
      <w:pPr>
        <w:pStyle w:val="Formule"/>
      </w:pPr>
      <w:r>
        <w:t>Charges variables + (charges fixes × activité réelle/activité normale)</w:t>
      </w:r>
    </w:p>
    <w:p w14:paraId="7F0AC812" w14:textId="77777777" w:rsidR="005D07A6" w:rsidRDefault="00F42774">
      <w:pPr>
        <w:pStyle w:val="CTEspDessous"/>
      </w:pPr>
      <w:r>
        <w:t>Quand l’activité réelle est normale, le coefficient est égal à 1, et cela ne change pas le calcul du coût complet classique : on retombe sur la méthode de base, sans qu’il soit nécessaire de parler d’imputation rationnelle.</w:t>
      </w:r>
    </w:p>
    <w:p w14:paraId="5BAA6109" w14:textId="77777777" w:rsidR="005D07A6" w:rsidRDefault="00F42774">
      <w:pPr>
        <w:pStyle w:val="CTEspDessous"/>
      </w:pPr>
      <w:r>
        <w:t>Quand l’activité réelle est inférieure à l’activité normale (hypothèse de sous-activité), le coefficient est inférieur à 1 et on incorpore une fraction uniquement des charges fixes.</w:t>
      </w:r>
    </w:p>
    <w:p w14:paraId="325971E8" w14:textId="77777777" w:rsidR="005D07A6" w:rsidRDefault="00F42774">
      <w:pPr>
        <w:pStyle w:val="CTEspDessous"/>
      </w:pPr>
      <w:r>
        <w:t>Quand l’activité réelle est supérieure à l’activité normale, le coefficient est supérieur à 1, et on incorpore donc dans les coûts plus de charges fixes qu’il n’y en a en réalité.</w:t>
      </w:r>
    </w:p>
    <w:p w14:paraId="2C73B0BE" w14:textId="77777777" w:rsidR="005D07A6" w:rsidRDefault="00F42774">
      <w:pPr>
        <w:pStyle w:val="CTEspDessous"/>
      </w:pPr>
      <w:r>
        <w:t xml:space="preserve">Le résultat, c’est que l’on « variabilise » les charges fixes et que le coût unitaire complet d’imputation rationnelle, toutes choses égales par ailleurs, devient indépendant du niveau </w:t>
      </w:r>
      <w:r>
        <w:lastRenderedPageBreak/>
        <w:t>réel d’activité, et est toujours égal au coût unitaire calculé dans les conditions normales d’activité.</w:t>
      </w:r>
    </w:p>
    <w:p w14:paraId="6D502C3B" w14:textId="77777777" w:rsidR="005D07A6" w:rsidRDefault="00F42774">
      <w:pPr>
        <w:pStyle w:val="debutfiletr"/>
      </w:pPr>
      <w:r>
        <w:t>Application _n-15_Suite</w:t>
      </w:r>
    </w:p>
    <w:p w14:paraId="37BDD104" w14:textId="77777777" w:rsidR="005D07A6" w:rsidRDefault="00F42774">
      <w:pPr>
        <w:pStyle w:val="CT"/>
      </w:pPr>
      <w:r>
        <w:t>Dans notre exemple numérique, avec 20 % de sous-activité, on n’incorpore que 80 000 de charges fixes et le coût unitaire ressort à (160 000 + 80 000)/80 = 3 000 € la tonne.</w:t>
      </w:r>
    </w:p>
    <w:p w14:paraId="08084A6B" w14:textId="77777777" w:rsidR="005D07A6" w:rsidRDefault="00F42774">
      <w:pPr>
        <w:pStyle w:val="CT"/>
      </w:pPr>
      <w:r>
        <w:t>De même, avec 20 % de suractivité, on incorpore 120 000 de charges fixes et le coût unitaire est toujours de (240 000 + 120 000)/120 = 3 000 € la tonne.</w:t>
      </w:r>
    </w:p>
    <w:p w14:paraId="411B94AE" w14:textId="77777777" w:rsidR="005D07A6" w:rsidRDefault="00F42774">
      <w:pPr>
        <w:pStyle w:val="finfiletr"/>
      </w:pPr>
      <w:r>
        <w:t>Fin Application</w:t>
      </w:r>
    </w:p>
    <w:p w14:paraId="5A23BEB0" w14:textId="77777777" w:rsidR="005D07A6" w:rsidRDefault="00F42774">
      <w:pPr>
        <w:pStyle w:val="CTEspDessous"/>
      </w:pPr>
      <w:r>
        <w:t>On va donc calculer un coût rationnel caractéristique des conditions normales d’exploitation, qui peut être utilisé pour calculer le résultat analytique rationnel sur les produits vendus.</w:t>
      </w:r>
    </w:p>
    <w:p w14:paraId="285739DC" w14:textId="77777777" w:rsidR="005D07A6" w:rsidRDefault="00F42774">
      <w:pPr>
        <w:pStyle w:val="CTEspDessous"/>
      </w:pPr>
      <w:r>
        <w:t>Évidemment, si les conditions d’exploitation se détériorent (plus de gaspillage de matières ou baisse des rendements), le coût unitaire va augmenter, mais le phénomène apparaîtra en tant que tel sans être « parasité » par les fluctuations conjoncturelles de l’activité.</w:t>
      </w:r>
    </w:p>
    <w:p w14:paraId="3553712F" w14:textId="77777777" w:rsidR="005D07A6" w:rsidRDefault="00F42774">
      <w:pPr>
        <w:pStyle w:val="debutfilet"/>
      </w:pPr>
      <w:r>
        <w:t>Definition</w:t>
      </w:r>
    </w:p>
    <w:p w14:paraId="5D29DDC2" w14:textId="77777777" w:rsidR="005D07A6" w:rsidRDefault="00F42774">
      <w:pPr>
        <w:pStyle w:val="LibelleRubrique"/>
      </w:pPr>
      <w:r>
        <w:t>Définition</w:t>
      </w:r>
    </w:p>
    <w:p w14:paraId="2A2D3278" w14:textId="77777777" w:rsidR="005D07A6" w:rsidRDefault="00F42774">
      <w:pPr>
        <w:pStyle w:val="CT"/>
      </w:pPr>
      <w:r>
        <w:t xml:space="preserve">La </w:t>
      </w:r>
      <w:r>
        <w:rPr>
          <w:b/>
          <w:bCs/>
          <w:i/>
          <w:iCs/>
          <w:color w:val="FF0000"/>
        </w:rPr>
        <w:t>différence d’imputation rationnelle (DIR)</w:t>
      </w:r>
      <w:r>
        <w:rPr>
          <w:highlight w:val="green"/>
        </w:rPr>
        <w:fldChar w:fldCharType="begin"/>
      </w:r>
      <w:r>
        <w:rPr>
          <w:highlight w:val="green"/>
        </w:rPr>
        <w:instrText xml:space="preserve"> XE "</w:instrText>
      </w:r>
      <w:r>
        <w:rPr>
          <w:noProof/>
          <w:highlight w:val="green"/>
        </w:rPr>
        <w:instrText>Différence</w:instrText>
      </w:r>
      <w:r>
        <w:rPr>
          <w:highlight w:val="green"/>
        </w:rPr>
        <w:instrText>:</w:instrText>
      </w:r>
      <w:r>
        <w:rPr>
          <w:noProof/>
          <w:highlight w:val="green"/>
        </w:rPr>
        <w:instrText>– DIR (différence d’imputation rationnelle)</w:instrText>
      </w:r>
      <w:r>
        <w:rPr>
          <w:highlight w:val="green"/>
        </w:rPr>
        <w:instrText xml:space="preserve">" </w:instrText>
      </w:r>
      <w:r>
        <w:rPr>
          <w:highlight w:val="green"/>
        </w:rPr>
        <w:fldChar w:fldCharType="end"/>
      </w:r>
      <w:r>
        <w:t xml:space="preserve"> est, par définition, la différence entre les charges fixes réelles et les charges fixes imputées rationnellement. Nous avons donc : DIR = Charges fixes × (1 – Coefficient d’activité).</w:t>
      </w:r>
    </w:p>
    <w:p w14:paraId="22F5FB04" w14:textId="77777777" w:rsidR="005D07A6" w:rsidRDefault="00F42774">
      <w:pPr>
        <w:pStyle w:val="finfilet"/>
      </w:pPr>
      <w:r>
        <w:t>Fin Definition</w:t>
      </w:r>
    </w:p>
    <w:p w14:paraId="51AB7EA0" w14:textId="77777777" w:rsidR="005D07A6" w:rsidRDefault="00F42774">
      <w:pPr>
        <w:pStyle w:val="CTEspDessous"/>
      </w:pPr>
      <w:r>
        <w:t xml:space="preserve">Si nous sommes en sous-activité, la DIR est positive et mesure </w:t>
      </w:r>
      <w:r>
        <w:rPr>
          <w:b/>
          <w:bCs/>
        </w:rPr>
        <w:t>le coût de la sous-activité</w:t>
      </w:r>
      <w:r>
        <w:t xml:space="preserve"> (CsA). On parle aussi de « surcoût de sous-activité » ou de « mali de sous-activité ».</w:t>
      </w:r>
      <w:r>
        <w:rPr>
          <w:highlight w:val="green"/>
        </w:rPr>
        <w:fldChar w:fldCharType="begin"/>
      </w:r>
      <w:r>
        <w:rPr>
          <w:highlight w:val="green"/>
        </w:rPr>
        <w:instrText xml:space="preserve"> XE "</w:instrText>
      </w:r>
      <w:r>
        <w:rPr>
          <w:noProof/>
          <w:highlight w:val="green"/>
        </w:rPr>
        <w:instrText>Coût</w:instrText>
      </w:r>
      <w:r>
        <w:rPr>
          <w:highlight w:val="green"/>
        </w:rPr>
        <w:instrText>:</w:instrText>
      </w:r>
      <w:r>
        <w:rPr>
          <w:noProof/>
          <w:highlight w:val="green"/>
        </w:rPr>
        <w:instrText>– de sous-activité</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Surcoût de sous-activité</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Mali</w:instrText>
      </w:r>
      <w:r>
        <w:rPr>
          <w:highlight w:val="green"/>
        </w:rPr>
        <w:instrText>:</w:instrText>
      </w:r>
      <w:r>
        <w:rPr>
          <w:noProof/>
          <w:highlight w:val="green"/>
        </w:rPr>
        <w:instrText>– de sous-activité</w:instrText>
      </w:r>
      <w:r>
        <w:rPr>
          <w:highlight w:val="green"/>
        </w:rPr>
        <w:instrText xml:space="preserve">" </w:instrText>
      </w:r>
      <w:r>
        <w:rPr>
          <w:highlight w:val="green"/>
        </w:rPr>
        <w:fldChar w:fldCharType="end"/>
      </w:r>
    </w:p>
    <w:p w14:paraId="3B25A67A" w14:textId="77777777" w:rsidR="005D07A6" w:rsidRDefault="00F42774">
      <w:pPr>
        <w:pStyle w:val="debutfiletr"/>
      </w:pPr>
      <w:r>
        <w:t>Application _n-15_Suite</w:t>
      </w:r>
    </w:p>
    <w:p w14:paraId="2E7074CE" w14:textId="77777777" w:rsidR="005D07A6" w:rsidRDefault="00F42774">
      <w:pPr>
        <w:pStyle w:val="CT"/>
      </w:pPr>
      <w:r>
        <w:t>Dans notre exemple, le coût de la sous-activité est égal à :</w:t>
      </w:r>
    </w:p>
    <w:p w14:paraId="2B3DDE8D" w14:textId="77777777" w:rsidR="005D07A6" w:rsidRDefault="00F42774">
      <w:pPr>
        <w:pStyle w:val="CT"/>
      </w:pPr>
      <w:r>
        <w:t>CsA = 100 000 × (1 – 0,8) = 20 000</w:t>
      </w:r>
    </w:p>
    <w:p w14:paraId="7F8F8748" w14:textId="77777777" w:rsidR="005D07A6" w:rsidRDefault="00F42774">
      <w:pPr>
        <w:pStyle w:val="CT"/>
      </w:pPr>
      <w:r>
        <w:t>Le résultat de (–) 4 000 peut être interprété comme la somme algébrique d’un résultat rationnel sur la vente des 80 tonnes [égal à : (3 200 – 3 000) × 80 = 16 000] et du CsA.</w:t>
      </w:r>
    </w:p>
    <w:p w14:paraId="4045E0F9" w14:textId="77777777" w:rsidR="005D07A6" w:rsidRDefault="00F42774">
      <w:pPr>
        <w:pStyle w:val="CT"/>
      </w:pPr>
      <w:r>
        <w:t>Nous avons bien 16 000 – 20 000 = (–) 4 000.</w:t>
      </w:r>
    </w:p>
    <w:p w14:paraId="53D48832" w14:textId="77777777" w:rsidR="005D07A6" w:rsidRDefault="00F42774">
      <w:pPr>
        <w:pStyle w:val="CT"/>
      </w:pPr>
      <w:r>
        <w:t>Le produit P est un bon produit ; sur chaque tonne vendue, on gagne 200 ; malheureusement, conjoncturellement on subit un coût de sous-activité. Il ne faut pas abandonner le produit, mais le « booster » commercialement…</w:t>
      </w:r>
    </w:p>
    <w:p w14:paraId="1B79DAE8" w14:textId="77777777" w:rsidR="005D07A6" w:rsidRDefault="00F42774">
      <w:pPr>
        <w:pStyle w:val="finfiletr"/>
      </w:pPr>
      <w:r>
        <w:t>Fin Application</w:t>
      </w:r>
    </w:p>
    <w:p w14:paraId="2CCFA99C" w14:textId="77777777" w:rsidR="005D07A6" w:rsidRDefault="00F42774">
      <w:pPr>
        <w:pStyle w:val="CTEspDessous"/>
      </w:pPr>
      <w:r>
        <w:t xml:space="preserve">Inversement, en cas de suractivité, la DIR est négative et mesure un </w:t>
      </w:r>
      <w:r>
        <w:rPr>
          <w:b/>
          <w:bCs/>
        </w:rPr>
        <w:t xml:space="preserve">gain de suractivité </w:t>
      </w:r>
      <w:r>
        <w:t xml:space="preserve">(GSA). On parle aussi de « boni de suractivité ». </w:t>
      </w:r>
      <w:r>
        <w:rPr>
          <w:highlight w:val="green"/>
        </w:rPr>
        <w:fldChar w:fldCharType="begin"/>
      </w:r>
      <w:r>
        <w:rPr>
          <w:highlight w:val="green"/>
        </w:rPr>
        <w:instrText xml:space="preserve"> XE "</w:instrText>
      </w:r>
      <w:r>
        <w:rPr>
          <w:noProof/>
          <w:highlight w:val="green"/>
        </w:rPr>
        <w:instrText>Gain de suractivité</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Boni de suractivité</w:instrText>
      </w:r>
      <w:r>
        <w:rPr>
          <w:highlight w:val="green"/>
        </w:rPr>
        <w:instrText xml:space="preserve">" </w:instrText>
      </w:r>
      <w:r>
        <w:rPr>
          <w:highlight w:val="green"/>
        </w:rPr>
        <w:fldChar w:fldCharType="end"/>
      </w:r>
    </w:p>
    <w:p w14:paraId="35AA8968" w14:textId="77777777" w:rsidR="005D07A6" w:rsidRDefault="00F42774">
      <w:pPr>
        <w:pStyle w:val="debutfiletr"/>
      </w:pPr>
      <w:r>
        <w:t>Application _n-15_Suite</w:t>
      </w:r>
    </w:p>
    <w:p w14:paraId="6A663C69" w14:textId="77777777" w:rsidR="005D07A6" w:rsidRDefault="00F42774">
      <w:pPr>
        <w:pStyle w:val="CT"/>
      </w:pPr>
      <w:r>
        <w:t>Dans notre exemple, le gain est égal à :</w:t>
      </w:r>
    </w:p>
    <w:p w14:paraId="6F287BFB" w14:textId="77777777" w:rsidR="005D07A6" w:rsidRDefault="00F42774">
      <w:pPr>
        <w:pStyle w:val="CT"/>
      </w:pPr>
      <w:r>
        <w:t>GSA = 100 000 × (1 – 1,2) = (–) 20 000</w:t>
      </w:r>
    </w:p>
    <w:p w14:paraId="7F294557" w14:textId="77777777" w:rsidR="005D07A6" w:rsidRDefault="00F42774">
      <w:pPr>
        <w:pStyle w:val="CT"/>
      </w:pPr>
      <w:r>
        <w:t>Le résultat analytique rationnel est de :</w:t>
      </w:r>
    </w:p>
    <w:p w14:paraId="6D560FDE" w14:textId="77777777" w:rsidR="005D07A6" w:rsidRDefault="00F42774">
      <w:pPr>
        <w:pStyle w:val="CT"/>
      </w:pPr>
      <w:r>
        <w:t>(3 200 – 3 000) × 120 = 24 000</w:t>
      </w:r>
    </w:p>
    <w:p w14:paraId="19AB9BD5" w14:textId="77777777" w:rsidR="005D07A6" w:rsidRDefault="00F42774">
      <w:pPr>
        <w:pStyle w:val="CT"/>
      </w:pPr>
      <w:r>
        <w:t>Et le résultat de la période de 44 000 s’analyse comme étant la somme de ce résultat et du gain de suractivité :</w:t>
      </w:r>
    </w:p>
    <w:p w14:paraId="6785E84F" w14:textId="77777777" w:rsidR="005D07A6" w:rsidRDefault="00F42774">
      <w:pPr>
        <w:pStyle w:val="CT"/>
      </w:pPr>
      <w:r>
        <w:t>44 000 = + 24 000 – (–) 20 000</w:t>
      </w:r>
    </w:p>
    <w:p w14:paraId="172E05CE" w14:textId="77777777" w:rsidR="005D07A6" w:rsidRDefault="00F42774">
      <w:pPr>
        <w:pStyle w:val="CT"/>
      </w:pPr>
      <w:r>
        <w:t>Le résultat de la période est exceptionnellement, conjoncturellement, anormalement majoré d’un gain de suractivité non récurrent de 20 000.</w:t>
      </w:r>
    </w:p>
    <w:p w14:paraId="5BA160EA" w14:textId="77777777" w:rsidR="005D07A6" w:rsidRDefault="00F42774">
      <w:pPr>
        <w:pStyle w:val="finfiletr"/>
      </w:pPr>
      <w:r>
        <w:t>Fin Application</w:t>
      </w:r>
    </w:p>
    <w:p w14:paraId="590FC9DF" w14:textId="77777777" w:rsidR="005D07A6" w:rsidRDefault="00F42774">
      <w:pPr>
        <w:pStyle w:val="CTEspDessous"/>
      </w:pPr>
      <w:r>
        <w:lastRenderedPageBreak/>
        <w:t>On comprend que la connaissance du coût d’imputation rationnelle et de la différence d’imputation rationnelle permette une bien meilleure analyse des résultats.</w:t>
      </w:r>
    </w:p>
    <w:p w14:paraId="4DC05A2F" w14:textId="77777777" w:rsidR="005D07A6" w:rsidRDefault="00F42774">
      <w:pPr>
        <w:pStyle w:val="debutfiletr"/>
      </w:pPr>
      <w:r>
        <w:t>Focus</w:t>
      </w:r>
    </w:p>
    <w:p w14:paraId="6750A5AC" w14:textId="77777777" w:rsidR="005D07A6" w:rsidRDefault="00F42774">
      <w:pPr>
        <w:pStyle w:val="TitreRubrique"/>
      </w:pPr>
      <w:r>
        <w:t>Boni et mali</w:t>
      </w:r>
    </w:p>
    <w:p w14:paraId="1BF0A734" w14:textId="77777777" w:rsidR="005D07A6" w:rsidRDefault="00F42774">
      <w:pPr>
        <w:pStyle w:val="CT"/>
      </w:pPr>
      <w:r>
        <w:t>L’expression « </w:t>
      </w:r>
      <w:r>
        <w:rPr>
          <w:b/>
          <w:bCs/>
        </w:rPr>
        <w:t>mali de sous-activité</w:t>
      </w:r>
      <w:r>
        <w:t xml:space="preserve"> » vient de l’expression </w:t>
      </w:r>
      <w:r>
        <w:rPr>
          <w:i/>
          <w:iCs/>
        </w:rPr>
        <w:t>aliquid mali</w:t>
      </w:r>
      <w:r>
        <w:t xml:space="preserve"> qui signifie « quelque chose de mauvais ». Le mot </w:t>
      </w:r>
      <w:r>
        <w:rPr>
          <w:i/>
          <w:iCs/>
        </w:rPr>
        <w:t>malus</w:t>
      </w:r>
      <w:r>
        <w:t xml:space="preserve"> est donc au génitif et prend la terminaison en « i » qui n’est pas ici une marque du pluriel (en italien, le « i » marque généralement le pluriel). Le mot </w:t>
      </w:r>
      <w:r>
        <w:rPr>
          <w:i/>
          <w:iCs/>
        </w:rPr>
        <w:t>aliquid</w:t>
      </w:r>
      <w:r>
        <w:t xml:space="preserve"> a disparu de l’expression courante, mais on continue de parler de </w:t>
      </w:r>
      <w:r>
        <w:rPr>
          <w:i/>
          <w:iCs/>
        </w:rPr>
        <w:t>mali</w:t>
      </w:r>
      <w:r>
        <w:t xml:space="preserve"> de sous-activité, de même que l’on parle du « mali de fusion ». Il ne faut donc pas parler de « malus » de sous-activité, ni de « bonus » de suractivité ! Pour éviter de se poser toutes ces questions, le plus simple est peut-être d’utiliser l’expression française « surcoût de sous-activité ».</w:t>
      </w:r>
    </w:p>
    <w:p w14:paraId="7A4B490F" w14:textId="77777777" w:rsidR="005D07A6" w:rsidRDefault="00F42774">
      <w:pPr>
        <w:pStyle w:val="CT"/>
      </w:pPr>
      <w:r>
        <w:t>Il en est de même pour le « </w:t>
      </w:r>
      <w:r>
        <w:rPr>
          <w:b/>
          <w:bCs/>
        </w:rPr>
        <w:t>boni de suractivité </w:t>
      </w:r>
      <w:r>
        <w:t xml:space="preserve">». </w:t>
      </w:r>
      <w:r>
        <w:rPr>
          <w:highlight w:val="green"/>
        </w:rPr>
        <w:fldChar w:fldCharType="begin"/>
      </w:r>
      <w:r>
        <w:rPr>
          <w:highlight w:val="green"/>
        </w:rPr>
        <w:instrText xml:space="preserve"> XE "</w:instrText>
      </w:r>
      <w:r>
        <w:rPr>
          <w:noProof/>
          <w:highlight w:val="green"/>
        </w:rPr>
        <w:instrText>Mali</w:instrText>
      </w:r>
      <w:r>
        <w:rPr>
          <w:highlight w:val="green"/>
        </w:rPr>
        <w:instrText xml:space="preserve">" </w:instrText>
      </w:r>
      <w:r>
        <w:rPr>
          <w:highlight w:val="green"/>
        </w:rPr>
        <w:fldChar w:fldCharType="end"/>
      </w:r>
      <w:r>
        <w:rPr>
          <w:highlight w:val="green"/>
        </w:rPr>
        <w:fldChar w:fldCharType="begin"/>
      </w:r>
      <w:r>
        <w:rPr>
          <w:highlight w:val="green"/>
        </w:rPr>
        <w:instrText xml:space="preserve"> XE "</w:instrText>
      </w:r>
      <w:r>
        <w:rPr>
          <w:noProof/>
          <w:highlight w:val="green"/>
        </w:rPr>
        <w:instrText>Boni</w:instrText>
      </w:r>
      <w:r>
        <w:rPr>
          <w:highlight w:val="green"/>
        </w:rPr>
        <w:instrText xml:space="preserve">" </w:instrText>
      </w:r>
      <w:r>
        <w:rPr>
          <w:highlight w:val="green"/>
        </w:rPr>
        <w:fldChar w:fldCharType="end"/>
      </w:r>
    </w:p>
    <w:p w14:paraId="353EB61E" w14:textId="77777777" w:rsidR="005D07A6" w:rsidRDefault="00F42774">
      <w:pPr>
        <w:pStyle w:val="finfiletr"/>
      </w:pPr>
      <w:r>
        <w:t>Fin Focus</w:t>
      </w:r>
    </w:p>
    <w:p w14:paraId="41DD6581" w14:textId="77777777" w:rsidR="005D07A6" w:rsidRDefault="00F42774">
      <w:pPr>
        <w:pStyle w:val="T3"/>
      </w:pPr>
      <w:r>
        <w:t>section 2.</w:t>
      </w:r>
      <w:r>
        <w:tab/>
        <w:t>L’imputation rationnelle et les centres d’analyse</w:t>
      </w:r>
    </w:p>
    <w:p w14:paraId="658BE013" w14:textId="77777777" w:rsidR="005D07A6" w:rsidRDefault="00F42774">
      <w:pPr>
        <w:pStyle w:val="CTEspDessous"/>
      </w:pPr>
      <w:r>
        <w:t>En pratique, il faut appliquer la méthode au niveau de chaque centre d’analyse, car les coefficients d’activité peuvent être différents selon les centres : un atelier enregistre 20 % de sous-activité, un autre 10 %, un troisième peut être en suractivité. Il faut également l’appliquer aux charges fixes spécifiques.</w:t>
      </w:r>
    </w:p>
    <w:p w14:paraId="42202D6B" w14:textId="77777777" w:rsidR="005D07A6" w:rsidRDefault="00F42774">
      <w:pPr>
        <w:pStyle w:val="CTEspDessous"/>
      </w:pPr>
      <w:r>
        <w:t>Pour chaque centre, il faut distinguer les charges fixes et les charges variables, et appliquer le coefficient d’activité aux seules charges fixes, avant de calculer le coût « rationnel » de l’unité d’œuvre.</w:t>
      </w:r>
    </w:p>
    <w:p w14:paraId="677B26A7" w14:textId="77777777" w:rsidR="005D07A6" w:rsidRDefault="00F42774">
      <w:pPr>
        <w:pStyle w:val="CTEspDessous"/>
      </w:pPr>
      <w:r>
        <w:t xml:space="preserve">Il faut donc, en pratique, </w:t>
      </w:r>
      <w:r>
        <w:rPr>
          <w:b/>
          <w:bCs/>
        </w:rPr>
        <w:t>prévoir deux colonnes par centre d’analyse dans le tableau de répartition</w:t>
      </w:r>
      <w:r>
        <w:t>.</w:t>
      </w:r>
    </w:p>
    <w:p w14:paraId="7A86CB20" w14:textId="77777777" w:rsidR="005D07A6" w:rsidRDefault="00F42774">
      <w:pPr>
        <w:pStyle w:val="debutfiletr"/>
      </w:pPr>
      <w:r>
        <w:t>Application _n-15_Suite</w:t>
      </w:r>
    </w:p>
    <w:p w14:paraId="202B9180" w14:textId="77777777" w:rsidR="005D07A6" w:rsidRDefault="00F42774">
      <w:pPr>
        <w:pStyle w:val="CT"/>
      </w:pPr>
      <w:r>
        <w:t>Reprenons le cas de sous-activité en supposant que toutes les charges sont indirectes et que l’on prend comme unité d’œuvre le nombre de produits fabriqués :</w:t>
      </w:r>
    </w:p>
    <w:tbl>
      <w:tblPr>
        <w:tblW w:w="7643" w:type="dxa"/>
        <w:tblInd w:w="1701" w:type="dxa"/>
        <w:tblLook w:val="04A0" w:firstRow="1" w:lastRow="0" w:firstColumn="1" w:lastColumn="0" w:noHBand="0" w:noVBand="1"/>
      </w:tblPr>
      <w:tblGrid>
        <w:gridCol w:w="3041"/>
        <w:gridCol w:w="520"/>
        <w:gridCol w:w="1781"/>
        <w:gridCol w:w="1781"/>
        <w:gridCol w:w="520"/>
      </w:tblGrid>
      <w:tr w:rsidR="005D07A6" w14:paraId="7B446DF1" w14:textId="77777777">
        <w:tc>
          <w:tcPr>
            <w:tcW w:w="2280" w:type="dxa"/>
            <w:tcBorders>
              <w:top w:val="nil"/>
              <w:left w:val="nil"/>
              <w:bottom w:val="nil"/>
              <w:right w:val="single" w:sz="4" w:space="0" w:color="auto"/>
            </w:tcBorders>
            <w:tcMar>
              <w:top w:w="0" w:type="dxa"/>
              <w:left w:w="2" w:type="dxa"/>
              <w:bottom w:w="0" w:type="dxa"/>
              <w:right w:w="2" w:type="dxa"/>
            </w:tcMar>
            <w:hideMark/>
          </w:tcPr>
          <w:p w14:paraId="42798D2D" w14:textId="77777777" w:rsidR="005D07A6" w:rsidRDefault="005D07A6"/>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C29E198" w14:textId="77777777" w:rsidR="005D07A6" w:rsidRDefault="00F42774">
            <w:pPr>
              <w:pStyle w:val="TA1"/>
              <w:jc w:val="center"/>
              <w:rPr>
                <w:rFonts w:eastAsiaTheme="minorEastAsia"/>
              </w:rPr>
            </w:pPr>
            <w:r>
              <w:t>…</w:t>
            </w:r>
          </w:p>
        </w:tc>
        <w:tc>
          <w:tcPr>
            <w:tcW w:w="1335" w:type="dxa"/>
            <w:gridSpan w:val="2"/>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DC073C9" w14:textId="77777777" w:rsidR="005D07A6" w:rsidRDefault="00F42774">
            <w:pPr>
              <w:pStyle w:val="TA1"/>
              <w:jc w:val="center"/>
              <w:rPr>
                <w:rFonts w:eastAsiaTheme="minorEastAsia"/>
              </w:rPr>
            </w:pPr>
            <w:r>
              <w:t>Centre X</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B26D19D" w14:textId="77777777" w:rsidR="005D07A6" w:rsidRDefault="00F42774">
            <w:pPr>
              <w:pStyle w:val="TA1"/>
              <w:jc w:val="center"/>
              <w:rPr>
                <w:rFonts w:eastAsiaTheme="minorEastAsia"/>
              </w:rPr>
            </w:pPr>
            <w:r>
              <w:t>…</w:t>
            </w:r>
          </w:p>
        </w:tc>
      </w:tr>
      <w:tr w:rsidR="005D07A6" w14:paraId="7E1793F6" w14:textId="77777777">
        <w:tc>
          <w:tcPr>
            <w:tcW w:w="2280" w:type="dxa"/>
            <w:tcBorders>
              <w:top w:val="nil"/>
              <w:left w:val="nil"/>
              <w:bottom w:val="single" w:sz="4" w:space="0" w:color="auto"/>
              <w:right w:val="single" w:sz="4" w:space="0" w:color="auto"/>
            </w:tcBorders>
            <w:tcMar>
              <w:top w:w="0" w:type="dxa"/>
              <w:left w:w="2" w:type="dxa"/>
              <w:bottom w:w="0" w:type="dxa"/>
              <w:right w:w="2" w:type="dxa"/>
            </w:tcMar>
            <w:hideMark/>
          </w:tcPr>
          <w:p w14:paraId="0B3AA4B3" w14:textId="77777777" w:rsidR="005D07A6" w:rsidRDefault="005D07A6"/>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3CD1B1A" w14:textId="77777777" w:rsidR="005D07A6" w:rsidRDefault="005D07A6"/>
        </w:tc>
        <w:tc>
          <w:tcPr>
            <w:tcW w:w="13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E959780" w14:textId="77777777" w:rsidR="005D07A6" w:rsidRDefault="00F42774">
            <w:pPr>
              <w:pStyle w:val="TA1"/>
              <w:jc w:val="center"/>
              <w:rPr>
                <w:rFonts w:eastAsiaTheme="minorEastAsia"/>
              </w:rPr>
            </w:pPr>
            <w:r>
              <w:rPr>
                <w:b/>
                <w:bCs/>
              </w:rPr>
              <w:t>Charges fixes</w:t>
            </w:r>
          </w:p>
        </w:tc>
        <w:tc>
          <w:tcPr>
            <w:tcW w:w="13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BE1E848" w14:textId="77777777" w:rsidR="005D07A6" w:rsidRDefault="00F42774">
            <w:pPr>
              <w:pStyle w:val="TA1"/>
              <w:jc w:val="center"/>
              <w:rPr>
                <w:rFonts w:eastAsiaTheme="minorEastAsia"/>
              </w:rPr>
            </w:pPr>
            <w:r>
              <w:rPr>
                <w:b/>
                <w:bCs/>
              </w:rPr>
              <w:t>Charges variables</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49909BF" w14:textId="77777777" w:rsidR="005D07A6" w:rsidRDefault="005D07A6"/>
        </w:tc>
      </w:tr>
      <w:tr w:rsidR="005D07A6" w14:paraId="12ECE751" w14:textId="77777777">
        <w:tc>
          <w:tcPr>
            <w:tcW w:w="22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99451AE" w14:textId="77777777" w:rsidR="005D07A6" w:rsidRDefault="005D07A6"/>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A0E703A" w14:textId="77777777" w:rsidR="005D07A6" w:rsidRDefault="005D07A6"/>
        </w:tc>
        <w:tc>
          <w:tcPr>
            <w:tcW w:w="13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6F4501E" w14:textId="77777777" w:rsidR="005D07A6" w:rsidRDefault="00F42774">
            <w:pPr>
              <w:pStyle w:val="TA1"/>
              <w:jc w:val="right"/>
              <w:rPr>
                <w:rFonts w:eastAsiaTheme="minorEastAsia"/>
              </w:rPr>
            </w:pPr>
            <w:r>
              <w:t>–</w:t>
            </w:r>
          </w:p>
        </w:tc>
        <w:tc>
          <w:tcPr>
            <w:tcW w:w="13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5B249DE" w14:textId="77777777" w:rsidR="005D07A6" w:rsidRDefault="00F42774">
            <w:pPr>
              <w:pStyle w:val="TA1"/>
              <w:jc w:val="right"/>
              <w:rPr>
                <w:rFonts w:eastAsiaTheme="minorEastAsia"/>
              </w:rPr>
            </w:pPr>
            <w:r>
              <w:t>–</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3C8A19E" w14:textId="77777777" w:rsidR="005D07A6" w:rsidRDefault="005D07A6"/>
        </w:tc>
      </w:tr>
      <w:tr w:rsidR="005D07A6" w14:paraId="52D14695" w14:textId="77777777">
        <w:tc>
          <w:tcPr>
            <w:tcW w:w="22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572DBC1" w14:textId="77777777" w:rsidR="005D07A6" w:rsidRDefault="005D07A6"/>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2653FF9" w14:textId="77777777" w:rsidR="005D07A6" w:rsidRDefault="005D07A6"/>
        </w:tc>
        <w:tc>
          <w:tcPr>
            <w:tcW w:w="13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1540A86" w14:textId="77777777" w:rsidR="005D07A6" w:rsidRDefault="00F42774">
            <w:pPr>
              <w:pStyle w:val="TA1"/>
              <w:jc w:val="right"/>
              <w:rPr>
                <w:rFonts w:eastAsiaTheme="minorEastAsia"/>
              </w:rPr>
            </w:pPr>
            <w:r>
              <w:t>–</w:t>
            </w:r>
          </w:p>
        </w:tc>
        <w:tc>
          <w:tcPr>
            <w:tcW w:w="13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0249311" w14:textId="77777777" w:rsidR="005D07A6" w:rsidRDefault="00F42774">
            <w:pPr>
              <w:pStyle w:val="TA1"/>
              <w:jc w:val="right"/>
              <w:rPr>
                <w:rFonts w:eastAsiaTheme="minorEastAsia"/>
              </w:rPr>
            </w:pPr>
            <w:r>
              <w:t>–</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62ACB98" w14:textId="77777777" w:rsidR="005D07A6" w:rsidRDefault="005D07A6"/>
        </w:tc>
      </w:tr>
      <w:tr w:rsidR="005D07A6" w14:paraId="448D6532" w14:textId="77777777">
        <w:tc>
          <w:tcPr>
            <w:tcW w:w="22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18D9D18" w14:textId="77777777" w:rsidR="005D07A6" w:rsidRDefault="005D07A6"/>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0D068D3" w14:textId="77777777" w:rsidR="005D07A6" w:rsidRDefault="005D07A6"/>
        </w:tc>
        <w:tc>
          <w:tcPr>
            <w:tcW w:w="13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6524EF5" w14:textId="77777777" w:rsidR="005D07A6" w:rsidRDefault="00F42774">
            <w:pPr>
              <w:pStyle w:val="TA1"/>
              <w:jc w:val="right"/>
              <w:rPr>
                <w:rFonts w:eastAsiaTheme="minorEastAsia"/>
              </w:rPr>
            </w:pPr>
            <w:r>
              <w:t>–</w:t>
            </w:r>
          </w:p>
        </w:tc>
        <w:tc>
          <w:tcPr>
            <w:tcW w:w="13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EABBA7D" w14:textId="77777777" w:rsidR="005D07A6" w:rsidRDefault="00F42774">
            <w:pPr>
              <w:pStyle w:val="TA1"/>
              <w:jc w:val="right"/>
              <w:rPr>
                <w:rFonts w:eastAsiaTheme="minorEastAsia"/>
              </w:rPr>
            </w:pPr>
            <w:r>
              <w:t>–</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D1E0AB4" w14:textId="77777777" w:rsidR="005D07A6" w:rsidRDefault="005D07A6"/>
        </w:tc>
      </w:tr>
      <w:tr w:rsidR="005D07A6" w14:paraId="587E1A28" w14:textId="77777777">
        <w:tc>
          <w:tcPr>
            <w:tcW w:w="22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F7005C7" w14:textId="77777777" w:rsidR="005D07A6" w:rsidRDefault="00F42774">
            <w:pPr>
              <w:pStyle w:val="TA1"/>
              <w:rPr>
                <w:rFonts w:eastAsiaTheme="minorEastAsia"/>
              </w:rPr>
            </w:pPr>
            <w:r>
              <w:t>Totaux après répartition primaire</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79AA29A" w14:textId="77777777" w:rsidR="005D07A6" w:rsidRDefault="005D07A6"/>
        </w:tc>
        <w:tc>
          <w:tcPr>
            <w:tcW w:w="13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25C926F" w14:textId="77777777" w:rsidR="005D07A6" w:rsidRDefault="00F42774">
            <w:pPr>
              <w:pStyle w:val="TA1"/>
              <w:jc w:val="right"/>
              <w:rPr>
                <w:rFonts w:eastAsiaTheme="minorEastAsia"/>
              </w:rPr>
            </w:pPr>
            <w:r>
              <w:t>100 000</w:t>
            </w:r>
          </w:p>
        </w:tc>
        <w:tc>
          <w:tcPr>
            <w:tcW w:w="13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46A97C5" w14:textId="77777777" w:rsidR="005D07A6" w:rsidRDefault="00F42774">
            <w:pPr>
              <w:pStyle w:val="TA1"/>
              <w:jc w:val="right"/>
              <w:rPr>
                <w:rFonts w:eastAsiaTheme="minorEastAsia"/>
              </w:rPr>
            </w:pPr>
            <w:r>
              <w:t>160 000</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84D4C8A" w14:textId="77777777" w:rsidR="005D07A6" w:rsidRDefault="005D07A6"/>
        </w:tc>
      </w:tr>
      <w:tr w:rsidR="005D07A6" w14:paraId="74B627BB" w14:textId="77777777">
        <w:tc>
          <w:tcPr>
            <w:tcW w:w="22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8BE4A11" w14:textId="77777777" w:rsidR="005D07A6" w:rsidRDefault="00F42774">
            <w:pPr>
              <w:pStyle w:val="TA1"/>
              <w:rPr>
                <w:rFonts w:eastAsiaTheme="minorEastAsia"/>
              </w:rPr>
            </w:pPr>
            <w:r>
              <w:t>Coefficient d’activité</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72C70B4" w14:textId="77777777" w:rsidR="005D07A6" w:rsidRDefault="005D07A6"/>
        </w:tc>
        <w:tc>
          <w:tcPr>
            <w:tcW w:w="13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EEC6D0D" w14:textId="77777777" w:rsidR="005D07A6" w:rsidRDefault="00F42774">
            <w:pPr>
              <w:pStyle w:val="TA1"/>
              <w:jc w:val="right"/>
              <w:rPr>
                <w:rFonts w:eastAsiaTheme="minorEastAsia"/>
              </w:rPr>
            </w:pPr>
            <w:r>
              <w:t>0,8</w:t>
            </w:r>
          </w:p>
        </w:tc>
        <w:tc>
          <w:tcPr>
            <w:tcW w:w="13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F206664" w14:textId="77777777" w:rsidR="005D07A6" w:rsidRDefault="005D07A6"/>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904B58F" w14:textId="77777777" w:rsidR="005D07A6" w:rsidRDefault="005D07A6"/>
        </w:tc>
      </w:tr>
      <w:tr w:rsidR="005D07A6" w14:paraId="18CADB22" w14:textId="77777777">
        <w:tc>
          <w:tcPr>
            <w:tcW w:w="22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B1F29A6" w14:textId="77777777" w:rsidR="005D07A6" w:rsidRDefault="00F42774">
            <w:pPr>
              <w:pStyle w:val="TA1"/>
              <w:rPr>
                <w:rFonts w:eastAsiaTheme="minorEastAsia"/>
              </w:rPr>
            </w:pPr>
            <w:r>
              <w:t>Charges fixes imputées</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58D6A65" w14:textId="77777777" w:rsidR="005D07A6" w:rsidRDefault="005D07A6"/>
        </w:tc>
        <w:tc>
          <w:tcPr>
            <w:tcW w:w="13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D377B28" w14:textId="77777777" w:rsidR="005D07A6" w:rsidRDefault="00F42774">
            <w:pPr>
              <w:pStyle w:val="TA1"/>
              <w:jc w:val="right"/>
              <w:rPr>
                <w:rFonts w:eastAsiaTheme="minorEastAsia"/>
              </w:rPr>
            </w:pPr>
            <w:r>
              <w:t>– 80 000</w:t>
            </w:r>
          </w:p>
        </w:tc>
        <w:tc>
          <w:tcPr>
            <w:tcW w:w="13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47C9EE6" w14:textId="77777777" w:rsidR="005D07A6" w:rsidRDefault="00F42774">
            <w:pPr>
              <w:pStyle w:val="TA1"/>
              <w:jc w:val="right"/>
              <w:rPr>
                <w:rFonts w:eastAsiaTheme="minorEastAsia"/>
              </w:rPr>
            </w:pPr>
            <w:r>
              <w:t>+ 80 000</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BE8B094" w14:textId="77777777" w:rsidR="005D07A6" w:rsidRDefault="005D07A6"/>
        </w:tc>
      </w:tr>
      <w:tr w:rsidR="005D07A6" w14:paraId="758CEBD6" w14:textId="77777777">
        <w:tc>
          <w:tcPr>
            <w:tcW w:w="22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9457820" w14:textId="77777777" w:rsidR="005D07A6" w:rsidRDefault="00F42774">
            <w:pPr>
              <w:pStyle w:val="TA1"/>
              <w:rPr>
                <w:rFonts w:eastAsiaTheme="minorEastAsia"/>
              </w:rPr>
            </w:pPr>
            <w:r>
              <w:t>Coût de la sous-activité</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91E361F" w14:textId="77777777" w:rsidR="005D07A6" w:rsidRDefault="005D07A6"/>
        </w:tc>
        <w:tc>
          <w:tcPr>
            <w:tcW w:w="13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70F1C93" w14:textId="77777777" w:rsidR="005D07A6" w:rsidRDefault="00F42774">
            <w:pPr>
              <w:pStyle w:val="TA1"/>
              <w:jc w:val="right"/>
              <w:rPr>
                <w:rFonts w:eastAsiaTheme="minorEastAsia"/>
              </w:rPr>
            </w:pPr>
            <w:r>
              <w:t>20 000</w:t>
            </w:r>
          </w:p>
        </w:tc>
        <w:tc>
          <w:tcPr>
            <w:tcW w:w="13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9C82105" w14:textId="77777777" w:rsidR="005D07A6" w:rsidRDefault="005D07A6"/>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DA7B30F" w14:textId="77777777" w:rsidR="005D07A6" w:rsidRDefault="005D07A6"/>
        </w:tc>
      </w:tr>
      <w:tr w:rsidR="005D07A6" w14:paraId="0FD071F7" w14:textId="77777777">
        <w:tc>
          <w:tcPr>
            <w:tcW w:w="22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A406315" w14:textId="77777777" w:rsidR="005D07A6" w:rsidRDefault="00F42774">
            <w:pPr>
              <w:pStyle w:val="TA1"/>
              <w:rPr>
                <w:rFonts w:eastAsiaTheme="minorEastAsia"/>
              </w:rPr>
            </w:pPr>
            <w:r>
              <w:t>Charges imputées rationnellement</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325FDA9" w14:textId="77777777" w:rsidR="005D07A6" w:rsidRDefault="005D07A6"/>
        </w:tc>
        <w:tc>
          <w:tcPr>
            <w:tcW w:w="13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3811ED9" w14:textId="77777777" w:rsidR="005D07A6" w:rsidRDefault="005D07A6"/>
        </w:tc>
        <w:tc>
          <w:tcPr>
            <w:tcW w:w="13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B895E99" w14:textId="77777777" w:rsidR="005D07A6" w:rsidRDefault="00F42774">
            <w:pPr>
              <w:pStyle w:val="TA1"/>
              <w:jc w:val="right"/>
              <w:rPr>
                <w:rFonts w:eastAsiaTheme="minorEastAsia"/>
              </w:rPr>
            </w:pPr>
            <w:r>
              <w:t>240 000</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FFEDF7D" w14:textId="77777777" w:rsidR="005D07A6" w:rsidRDefault="005D07A6"/>
        </w:tc>
      </w:tr>
    </w:tbl>
    <w:p w14:paraId="4AB0C302" w14:textId="77777777" w:rsidR="005D07A6" w:rsidRDefault="00F42774">
      <w:pPr>
        <w:pStyle w:val="finfiletr"/>
        <w:rPr>
          <w:rFonts w:eastAsiaTheme="minorEastAsia"/>
        </w:rPr>
      </w:pPr>
      <w:r>
        <w:t>Fin Application</w:t>
      </w:r>
    </w:p>
    <w:p w14:paraId="7A35F8FE" w14:textId="77777777" w:rsidR="005D07A6" w:rsidRDefault="00F42774">
      <w:pPr>
        <w:pStyle w:val="CTEspDessous"/>
      </w:pPr>
      <w:r>
        <w:t>Le problème est de savoir dans quel ordre réaliser les opérations de répartition des charges indirectes et d’imputation rationnelle des charges de structure. En effet, en cas de répartition secondaire, si l’imputation rationnelle est faite avant la répartition secondaire, elle peut conduire (dans un cas extrême) à attribuer des charges à un centre dont le taux d’activité est nul puisque seul le taux d’activité du centre auxiliaire sera pris en compte. Si elle est faite après, il y a alors application successive de deux taux d’activité pour les mêmes charges, ce qui peut être critiquable. Techniquement, les deux solutions sont possibles. En pratique, dans les exercices, la seconde solution sera généralement privilégiée.</w:t>
      </w:r>
    </w:p>
    <w:p w14:paraId="039E1D3E" w14:textId="77777777" w:rsidR="005D07A6" w:rsidRDefault="00F42774">
      <w:pPr>
        <w:pStyle w:val="debutfiletr"/>
      </w:pPr>
      <w:r>
        <w:t>Fin_Serie</w:t>
      </w:r>
    </w:p>
    <w:p w14:paraId="63D47577" w14:textId="77777777" w:rsidR="005D07A6" w:rsidRDefault="00F42774">
      <w:pPr>
        <w:pStyle w:val="debutfilet"/>
      </w:pPr>
      <w:r>
        <w:lastRenderedPageBreak/>
        <w:t>Entrainement</w:t>
      </w:r>
    </w:p>
    <w:p w14:paraId="68AB3AEF" w14:textId="77777777" w:rsidR="005D07A6" w:rsidRDefault="00F42774">
      <w:pPr>
        <w:pStyle w:val="TRubriqueFin"/>
      </w:pPr>
      <w:r>
        <w:t>Exercices autocorrigés</w:t>
      </w:r>
    </w:p>
    <w:p w14:paraId="0C00C176" w14:textId="77777777" w:rsidR="005D07A6" w:rsidRDefault="00F42774">
      <w:pPr>
        <w:pStyle w:val="Devoirmentioncorrection"/>
      </w:pPr>
      <w:r>
        <w:t>Ne pas envoyer à la correction</w:t>
      </w:r>
    </w:p>
    <w:p w14:paraId="140A8F28" w14:textId="77777777" w:rsidR="005D07A6" w:rsidRDefault="00F42774">
      <w:pPr>
        <w:pStyle w:val="TexteRenvoiSite"/>
      </w:pPr>
      <w:r>
        <w:t xml:space="preserve">Retrouvez d’autres ressources pédagogiques disponibles sur le site de l’Intec : </w:t>
      </w:r>
      <w:hyperlink r:id="rId39" w:history="1">
        <w:r>
          <w:rPr>
            <w:rStyle w:val="Lienhypertexte"/>
          </w:rPr>
          <w:t>https://lecnam.net</w:t>
        </w:r>
      </w:hyperlink>
    </w:p>
    <w:p w14:paraId="7422A95A" w14:textId="77777777" w:rsidR="005D07A6" w:rsidRDefault="00F42774">
      <w:pPr>
        <w:pStyle w:val="debutfiletr"/>
      </w:pPr>
      <w:r>
        <w:t>Exercice_n-1</w:t>
      </w:r>
    </w:p>
    <w:p w14:paraId="70C7C7E5" w14:textId="77777777" w:rsidR="005D07A6" w:rsidRDefault="00F42774">
      <w:pPr>
        <w:pStyle w:val="LibelleRubrique"/>
      </w:pPr>
      <w:r>
        <w:t xml:space="preserve">Exercice </w:t>
      </w:r>
    </w:p>
    <w:p w14:paraId="3B4C931A" w14:textId="77777777" w:rsidR="005D07A6" w:rsidRDefault="00F42774">
      <w:pPr>
        <w:pStyle w:val="TitreRubrique"/>
      </w:pPr>
      <w:r>
        <w:t>Coût de revient, résultat analytique</w:t>
      </w:r>
    </w:p>
    <w:p w14:paraId="03B4307B" w14:textId="77777777" w:rsidR="005D07A6" w:rsidRDefault="00F42774">
      <w:pPr>
        <w:pStyle w:val="debutfilet"/>
      </w:pPr>
      <w:r>
        <w:t>Enonce</w:t>
      </w:r>
    </w:p>
    <w:p w14:paraId="32B47E9B" w14:textId="77777777" w:rsidR="005D07A6" w:rsidRDefault="00F42774">
      <w:pPr>
        <w:pStyle w:val="LibelleRubrique"/>
      </w:pPr>
      <w:r>
        <w:t>Énoncé</w:t>
      </w:r>
    </w:p>
    <w:p w14:paraId="5169C252" w14:textId="77777777" w:rsidR="005D07A6" w:rsidRDefault="00F42774">
      <w:pPr>
        <w:pStyle w:val="CT"/>
      </w:pPr>
      <w:r>
        <w:t>La société A fabrique, à partir d’une seule matière première, deux produits P1 et P2.</w:t>
      </w:r>
    </w:p>
    <w:p w14:paraId="61509E9A" w14:textId="77777777" w:rsidR="005D07A6" w:rsidRDefault="00F42774">
      <w:pPr>
        <w:pStyle w:val="CT"/>
      </w:pPr>
      <w:r>
        <w:t>Les produits passent d’abord dans l’atelier 1 où les matières premières sont incorporées, puis directement à l’atelier 2 sans stockage intermédiaire.</w:t>
      </w:r>
    </w:p>
    <w:p w14:paraId="6CE1597A" w14:textId="77777777" w:rsidR="005D07A6" w:rsidRDefault="00F42774">
      <w:pPr>
        <w:pStyle w:val="CT"/>
      </w:pPr>
      <w:r>
        <w:t>Elle souhaite connaître le coût de revient de ses produits par la méthode des centres d’analyse.</w:t>
      </w:r>
    </w:p>
    <w:p w14:paraId="1C328DDD" w14:textId="77777777" w:rsidR="005D07A6" w:rsidRDefault="00F42774">
      <w:pPr>
        <w:pStyle w:val="CT"/>
      </w:pPr>
      <w:r>
        <w:t>Les informations nécessaires pour le mois d’avril N sont communiquées en annexe.</w:t>
      </w:r>
    </w:p>
    <w:p w14:paraId="5A792A87" w14:textId="77777777" w:rsidR="005D07A6" w:rsidRDefault="00F42774">
      <w:pPr>
        <w:pStyle w:val="TexteEnonceQuestion"/>
      </w:pPr>
      <w:r>
        <w:rPr>
          <w:rStyle w:val="NEnonceQuestion"/>
        </w:rPr>
        <w:t>1. </w:t>
      </w:r>
      <w:r>
        <w:t>Présentez le tableau de répartition des charges indirectes du mois d’avril N.</w:t>
      </w:r>
    </w:p>
    <w:p w14:paraId="756175AD" w14:textId="77777777" w:rsidR="005D07A6" w:rsidRDefault="00F42774">
      <w:pPr>
        <w:pStyle w:val="TexteEnonceQuestion"/>
      </w:pPr>
      <w:r>
        <w:rPr>
          <w:rStyle w:val="NEnonceQuestion"/>
        </w:rPr>
        <w:t>2. </w:t>
      </w:r>
      <w:r>
        <w:t>Présentez les calculs successifs pour déterminer le résultat analytique.</w:t>
      </w:r>
    </w:p>
    <w:p w14:paraId="36EC589F" w14:textId="77777777" w:rsidR="005D07A6" w:rsidRDefault="00F42774">
      <w:pPr>
        <w:pStyle w:val="CT"/>
      </w:pPr>
      <w:r>
        <w:t>Les coûts totaux seront arrondis à la deuxième décimale et le coût des unités d’œuvre et les CMUP à la quatrième décimale.</w:t>
      </w:r>
    </w:p>
    <w:p w14:paraId="24109F75" w14:textId="77777777" w:rsidR="005D07A6" w:rsidRDefault="00F42774">
      <w:pPr>
        <w:pStyle w:val="debutfiletr"/>
      </w:pPr>
      <w:r>
        <w:t>Annexes</w:t>
      </w:r>
    </w:p>
    <w:p w14:paraId="2CC22139" w14:textId="77777777" w:rsidR="005D07A6" w:rsidRDefault="00F42774">
      <w:pPr>
        <w:pStyle w:val="debutfilet"/>
      </w:pPr>
      <w:r>
        <w:t>Annexe</w:t>
      </w:r>
    </w:p>
    <w:p w14:paraId="2E8159C1" w14:textId="77777777" w:rsidR="005D07A6" w:rsidRDefault="00F42774">
      <w:pPr>
        <w:pStyle w:val="LibelleRubrique"/>
      </w:pPr>
      <w:r>
        <w:t>Annexe</w:t>
      </w:r>
    </w:p>
    <w:p w14:paraId="335D16FB" w14:textId="77777777" w:rsidR="005D07A6" w:rsidRDefault="00F42774">
      <w:pPr>
        <w:pStyle w:val="TNiv1"/>
      </w:pPr>
      <w:r>
        <w:t>État des stocks au 01/04/N</w:t>
      </w:r>
    </w:p>
    <w:tbl>
      <w:tblPr>
        <w:tblW w:w="4241" w:type="dxa"/>
        <w:tblInd w:w="1701" w:type="dxa"/>
        <w:tblLook w:val="04A0" w:firstRow="1" w:lastRow="0" w:firstColumn="1" w:lastColumn="0" w:noHBand="0" w:noVBand="1"/>
      </w:tblPr>
      <w:tblGrid>
        <w:gridCol w:w="1481"/>
        <w:gridCol w:w="1380"/>
        <w:gridCol w:w="1380"/>
      </w:tblGrid>
      <w:tr w:rsidR="005D07A6" w14:paraId="5E62E56B" w14:textId="77777777">
        <w:tc>
          <w:tcPr>
            <w:tcW w:w="111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5477B2B" w14:textId="77777777" w:rsidR="005D07A6" w:rsidRDefault="00F42774">
            <w:pPr>
              <w:pStyle w:val="TA1"/>
              <w:jc w:val="center"/>
              <w:rPr>
                <w:rFonts w:eastAsiaTheme="minorEastAsia"/>
              </w:rPr>
            </w:pPr>
            <w:r>
              <w:rPr>
                <w:b/>
                <w:bCs/>
              </w:rPr>
              <w:t>Éléments</w:t>
            </w:r>
          </w:p>
        </w:tc>
        <w:tc>
          <w:tcPr>
            <w:tcW w:w="103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24CEE3E" w14:textId="77777777" w:rsidR="005D07A6" w:rsidRDefault="00F42774">
            <w:pPr>
              <w:pStyle w:val="TA1"/>
              <w:jc w:val="center"/>
              <w:rPr>
                <w:rFonts w:eastAsiaTheme="minorEastAsia"/>
              </w:rPr>
            </w:pPr>
            <w:r>
              <w:rPr>
                <w:b/>
                <w:bCs/>
              </w:rPr>
              <w:t>Quantité</w:t>
            </w:r>
          </w:p>
        </w:tc>
        <w:tc>
          <w:tcPr>
            <w:tcW w:w="103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C5CC79F" w14:textId="77777777" w:rsidR="005D07A6" w:rsidRDefault="00F42774">
            <w:pPr>
              <w:pStyle w:val="TA1"/>
              <w:jc w:val="center"/>
              <w:rPr>
                <w:rFonts w:eastAsiaTheme="minorEastAsia"/>
              </w:rPr>
            </w:pPr>
            <w:r>
              <w:rPr>
                <w:b/>
                <w:bCs/>
              </w:rPr>
              <w:t>Montant total</w:t>
            </w:r>
          </w:p>
        </w:tc>
      </w:tr>
      <w:tr w:rsidR="005D07A6" w14:paraId="308FDBF6" w14:textId="77777777">
        <w:tc>
          <w:tcPr>
            <w:tcW w:w="111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3081EBA" w14:textId="77777777" w:rsidR="005D07A6" w:rsidRDefault="00F42774">
            <w:pPr>
              <w:pStyle w:val="TA1"/>
              <w:rPr>
                <w:rFonts w:eastAsiaTheme="minorEastAsia"/>
              </w:rPr>
            </w:pPr>
            <w:r>
              <w:t>Matières premières</w:t>
            </w:r>
          </w:p>
        </w:tc>
        <w:tc>
          <w:tcPr>
            <w:tcW w:w="103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98F8BC7" w14:textId="77777777" w:rsidR="005D07A6" w:rsidRDefault="00F42774">
            <w:pPr>
              <w:pStyle w:val="TA1"/>
              <w:jc w:val="right"/>
              <w:rPr>
                <w:rFonts w:eastAsiaTheme="minorEastAsia"/>
              </w:rPr>
            </w:pPr>
            <w:r>
              <w:t>2 560</w:t>
            </w:r>
          </w:p>
        </w:tc>
        <w:tc>
          <w:tcPr>
            <w:tcW w:w="103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2F232B3" w14:textId="77777777" w:rsidR="005D07A6" w:rsidRDefault="00F42774">
            <w:pPr>
              <w:pStyle w:val="TA1"/>
              <w:jc w:val="center"/>
              <w:rPr>
                <w:rFonts w:eastAsiaTheme="minorEastAsia"/>
              </w:rPr>
            </w:pPr>
            <w:r>
              <w:t>58 980 €</w:t>
            </w:r>
          </w:p>
        </w:tc>
      </w:tr>
      <w:tr w:rsidR="005D07A6" w14:paraId="02AF4109" w14:textId="77777777">
        <w:tc>
          <w:tcPr>
            <w:tcW w:w="1110" w:type="dxa"/>
            <w:tcBorders>
              <w:top w:val="nil"/>
              <w:left w:val="single" w:sz="4" w:space="0" w:color="auto"/>
              <w:bottom w:val="nil"/>
              <w:right w:val="single" w:sz="4" w:space="0" w:color="auto"/>
            </w:tcBorders>
            <w:tcMar>
              <w:top w:w="0" w:type="dxa"/>
              <w:left w:w="2" w:type="dxa"/>
              <w:bottom w:w="0" w:type="dxa"/>
              <w:right w:w="2" w:type="dxa"/>
            </w:tcMar>
            <w:hideMark/>
          </w:tcPr>
          <w:p w14:paraId="19F64B87" w14:textId="77777777" w:rsidR="005D07A6" w:rsidRDefault="00F42774">
            <w:pPr>
              <w:pStyle w:val="TA1"/>
              <w:rPr>
                <w:rFonts w:eastAsiaTheme="minorEastAsia"/>
              </w:rPr>
            </w:pPr>
            <w:r>
              <w:t>Produits P1</w:t>
            </w:r>
          </w:p>
        </w:tc>
        <w:tc>
          <w:tcPr>
            <w:tcW w:w="1035" w:type="dxa"/>
            <w:tcBorders>
              <w:top w:val="nil"/>
              <w:left w:val="single" w:sz="4" w:space="0" w:color="auto"/>
              <w:bottom w:val="nil"/>
              <w:right w:val="single" w:sz="4" w:space="0" w:color="auto"/>
            </w:tcBorders>
            <w:tcMar>
              <w:top w:w="0" w:type="dxa"/>
              <w:left w:w="2" w:type="dxa"/>
              <w:bottom w:w="0" w:type="dxa"/>
              <w:right w:w="2" w:type="dxa"/>
            </w:tcMar>
            <w:hideMark/>
          </w:tcPr>
          <w:p w14:paraId="18BC47BF" w14:textId="77777777" w:rsidR="005D07A6" w:rsidRDefault="00F42774">
            <w:pPr>
              <w:pStyle w:val="TA1"/>
              <w:jc w:val="right"/>
              <w:rPr>
                <w:rFonts w:eastAsiaTheme="minorEastAsia"/>
              </w:rPr>
            </w:pPr>
            <w:r>
              <w:t>510</w:t>
            </w:r>
          </w:p>
        </w:tc>
        <w:tc>
          <w:tcPr>
            <w:tcW w:w="1035" w:type="dxa"/>
            <w:tcBorders>
              <w:top w:val="nil"/>
              <w:left w:val="single" w:sz="4" w:space="0" w:color="auto"/>
              <w:bottom w:val="nil"/>
              <w:right w:val="single" w:sz="4" w:space="0" w:color="auto"/>
            </w:tcBorders>
            <w:tcMar>
              <w:top w:w="0" w:type="dxa"/>
              <w:left w:w="2" w:type="dxa"/>
              <w:bottom w:w="0" w:type="dxa"/>
              <w:right w:w="2" w:type="dxa"/>
            </w:tcMar>
            <w:hideMark/>
          </w:tcPr>
          <w:p w14:paraId="0A192BBA" w14:textId="77777777" w:rsidR="005D07A6" w:rsidRDefault="00F42774">
            <w:pPr>
              <w:pStyle w:val="TA1"/>
              <w:jc w:val="center"/>
              <w:rPr>
                <w:rFonts w:eastAsiaTheme="minorEastAsia"/>
              </w:rPr>
            </w:pPr>
            <w:r>
              <w:t>13 750 €</w:t>
            </w:r>
          </w:p>
        </w:tc>
      </w:tr>
      <w:tr w:rsidR="005D07A6" w14:paraId="6719B897" w14:textId="77777777">
        <w:tc>
          <w:tcPr>
            <w:tcW w:w="111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85EAE2B" w14:textId="77777777" w:rsidR="005D07A6" w:rsidRDefault="00F42774">
            <w:pPr>
              <w:pStyle w:val="TA1"/>
              <w:rPr>
                <w:rFonts w:eastAsiaTheme="minorEastAsia"/>
              </w:rPr>
            </w:pPr>
            <w:r>
              <w:t>Produits P2</w:t>
            </w:r>
          </w:p>
        </w:tc>
        <w:tc>
          <w:tcPr>
            <w:tcW w:w="103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34C6E6F" w14:textId="77777777" w:rsidR="005D07A6" w:rsidRDefault="00F42774">
            <w:pPr>
              <w:pStyle w:val="TA1"/>
              <w:jc w:val="right"/>
              <w:rPr>
                <w:rFonts w:eastAsiaTheme="minorEastAsia"/>
              </w:rPr>
            </w:pPr>
            <w:r>
              <w:t>480</w:t>
            </w:r>
          </w:p>
        </w:tc>
        <w:tc>
          <w:tcPr>
            <w:tcW w:w="103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6355565" w14:textId="77777777" w:rsidR="005D07A6" w:rsidRDefault="00F42774">
            <w:pPr>
              <w:pStyle w:val="TA1"/>
              <w:jc w:val="center"/>
              <w:rPr>
                <w:rFonts w:eastAsiaTheme="minorEastAsia"/>
              </w:rPr>
            </w:pPr>
            <w:r>
              <w:t>44 190 €</w:t>
            </w:r>
          </w:p>
        </w:tc>
      </w:tr>
    </w:tbl>
    <w:p w14:paraId="60CB72D6" w14:textId="77777777" w:rsidR="005D07A6" w:rsidRDefault="00F42774">
      <w:pPr>
        <w:pStyle w:val="CT"/>
        <w:rPr>
          <w:rFonts w:eastAsiaTheme="minorEastAsia"/>
        </w:rPr>
      </w:pPr>
      <w:r>
        <w:t>Toutes les sorties de stock sont valorisées au coût moyen unitaire pondéré de fin de période.</w:t>
      </w:r>
    </w:p>
    <w:p w14:paraId="780170DA" w14:textId="77777777" w:rsidR="005D07A6" w:rsidRDefault="00F42774">
      <w:pPr>
        <w:pStyle w:val="TNiv1"/>
      </w:pPr>
      <w:r>
        <w:t>Achats du mois</w:t>
      </w:r>
    </w:p>
    <w:p w14:paraId="6A5357B9" w14:textId="77777777" w:rsidR="005D07A6" w:rsidRDefault="00F42774">
      <w:pPr>
        <w:pStyle w:val="CT"/>
      </w:pPr>
      <w:r>
        <w:t>Matières premières 4 200 m</w:t>
      </w:r>
      <w:r>
        <w:rPr>
          <w:vertAlign w:val="superscript"/>
        </w:rPr>
        <w:t>2</w:t>
      </w:r>
      <w:r>
        <w:t xml:space="preserve"> pour un montant de 7 232 €.</w:t>
      </w:r>
    </w:p>
    <w:p w14:paraId="1A595037" w14:textId="77777777" w:rsidR="005D07A6" w:rsidRDefault="00F42774">
      <w:pPr>
        <w:pStyle w:val="TNiv1"/>
      </w:pPr>
      <w:r>
        <w:t>État des stocks au 30/04/N</w:t>
      </w:r>
    </w:p>
    <w:tbl>
      <w:tblPr>
        <w:tblW w:w="2858" w:type="dxa"/>
        <w:tblInd w:w="1701" w:type="dxa"/>
        <w:tblLook w:val="04A0" w:firstRow="1" w:lastRow="0" w:firstColumn="1" w:lastColumn="0" w:noHBand="0" w:noVBand="1"/>
      </w:tblPr>
      <w:tblGrid>
        <w:gridCol w:w="1479"/>
        <w:gridCol w:w="1379"/>
      </w:tblGrid>
      <w:tr w:rsidR="005D07A6" w14:paraId="69B75E5E" w14:textId="77777777">
        <w:tc>
          <w:tcPr>
            <w:tcW w:w="111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F67190E" w14:textId="77777777" w:rsidR="005D07A6" w:rsidRDefault="00F42774">
            <w:pPr>
              <w:pStyle w:val="TA1"/>
              <w:jc w:val="center"/>
              <w:rPr>
                <w:rFonts w:eastAsiaTheme="minorEastAsia"/>
              </w:rPr>
            </w:pPr>
            <w:r>
              <w:rPr>
                <w:b/>
                <w:bCs/>
              </w:rPr>
              <w:t>Éléments</w:t>
            </w:r>
          </w:p>
        </w:tc>
        <w:tc>
          <w:tcPr>
            <w:tcW w:w="103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1392E70" w14:textId="77777777" w:rsidR="005D07A6" w:rsidRDefault="00F42774">
            <w:pPr>
              <w:pStyle w:val="TA1"/>
              <w:jc w:val="center"/>
              <w:rPr>
                <w:rFonts w:eastAsiaTheme="minorEastAsia"/>
              </w:rPr>
            </w:pPr>
            <w:r>
              <w:rPr>
                <w:b/>
                <w:bCs/>
              </w:rPr>
              <w:t>Quantité</w:t>
            </w:r>
          </w:p>
        </w:tc>
      </w:tr>
      <w:tr w:rsidR="005D07A6" w14:paraId="7070DE0D" w14:textId="77777777">
        <w:tc>
          <w:tcPr>
            <w:tcW w:w="111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AAC3AA1" w14:textId="77777777" w:rsidR="005D07A6" w:rsidRDefault="00F42774">
            <w:pPr>
              <w:pStyle w:val="TA1"/>
              <w:rPr>
                <w:rFonts w:eastAsiaTheme="minorEastAsia"/>
              </w:rPr>
            </w:pPr>
            <w:r>
              <w:t>Matières premières</w:t>
            </w:r>
          </w:p>
        </w:tc>
        <w:tc>
          <w:tcPr>
            <w:tcW w:w="103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C51FD57" w14:textId="77777777" w:rsidR="005D07A6" w:rsidRDefault="00F42774">
            <w:pPr>
              <w:pStyle w:val="TA1"/>
              <w:jc w:val="right"/>
              <w:rPr>
                <w:rFonts w:eastAsiaTheme="minorEastAsia"/>
              </w:rPr>
            </w:pPr>
            <w:r>
              <w:t>2 225</w:t>
            </w:r>
          </w:p>
        </w:tc>
      </w:tr>
      <w:tr w:rsidR="005D07A6" w14:paraId="65AD9D20" w14:textId="77777777">
        <w:tc>
          <w:tcPr>
            <w:tcW w:w="1110" w:type="dxa"/>
            <w:tcBorders>
              <w:top w:val="nil"/>
              <w:left w:val="single" w:sz="4" w:space="0" w:color="auto"/>
              <w:bottom w:val="nil"/>
              <w:right w:val="single" w:sz="4" w:space="0" w:color="auto"/>
            </w:tcBorders>
            <w:tcMar>
              <w:top w:w="0" w:type="dxa"/>
              <w:left w:w="2" w:type="dxa"/>
              <w:bottom w:w="0" w:type="dxa"/>
              <w:right w:w="2" w:type="dxa"/>
            </w:tcMar>
            <w:hideMark/>
          </w:tcPr>
          <w:p w14:paraId="350384D8" w14:textId="77777777" w:rsidR="005D07A6" w:rsidRDefault="00F42774">
            <w:pPr>
              <w:pStyle w:val="TA1"/>
              <w:rPr>
                <w:rFonts w:eastAsiaTheme="minorEastAsia"/>
              </w:rPr>
            </w:pPr>
            <w:r>
              <w:t>Produits P1</w:t>
            </w:r>
          </w:p>
        </w:tc>
        <w:tc>
          <w:tcPr>
            <w:tcW w:w="1035" w:type="dxa"/>
            <w:tcBorders>
              <w:top w:val="nil"/>
              <w:left w:val="single" w:sz="4" w:space="0" w:color="auto"/>
              <w:bottom w:val="nil"/>
              <w:right w:val="single" w:sz="4" w:space="0" w:color="auto"/>
            </w:tcBorders>
            <w:tcMar>
              <w:top w:w="0" w:type="dxa"/>
              <w:left w:w="2" w:type="dxa"/>
              <w:bottom w:w="0" w:type="dxa"/>
              <w:right w:w="2" w:type="dxa"/>
            </w:tcMar>
            <w:hideMark/>
          </w:tcPr>
          <w:p w14:paraId="630C3080" w14:textId="77777777" w:rsidR="005D07A6" w:rsidRDefault="00F42774">
            <w:pPr>
              <w:pStyle w:val="TA1"/>
              <w:jc w:val="right"/>
              <w:rPr>
                <w:rFonts w:eastAsiaTheme="minorEastAsia"/>
              </w:rPr>
            </w:pPr>
            <w:r>
              <w:t>635</w:t>
            </w:r>
          </w:p>
        </w:tc>
      </w:tr>
      <w:tr w:rsidR="005D07A6" w14:paraId="6FA760DB" w14:textId="77777777">
        <w:tc>
          <w:tcPr>
            <w:tcW w:w="111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071D3C7" w14:textId="77777777" w:rsidR="005D07A6" w:rsidRDefault="00F42774">
            <w:pPr>
              <w:pStyle w:val="TA1"/>
              <w:rPr>
                <w:rFonts w:eastAsiaTheme="minorEastAsia"/>
              </w:rPr>
            </w:pPr>
            <w:r>
              <w:t>Produits P2</w:t>
            </w:r>
          </w:p>
        </w:tc>
        <w:tc>
          <w:tcPr>
            <w:tcW w:w="103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9D65C80" w14:textId="77777777" w:rsidR="005D07A6" w:rsidRDefault="00F42774">
            <w:pPr>
              <w:pStyle w:val="TA1"/>
              <w:jc w:val="right"/>
              <w:rPr>
                <w:rFonts w:eastAsiaTheme="minorEastAsia"/>
              </w:rPr>
            </w:pPr>
            <w:r>
              <w:t>470</w:t>
            </w:r>
          </w:p>
        </w:tc>
      </w:tr>
    </w:tbl>
    <w:p w14:paraId="033BA0E8" w14:textId="77777777" w:rsidR="005D07A6" w:rsidRDefault="00F42774">
      <w:pPr>
        <w:pStyle w:val="TNiv1"/>
        <w:rPr>
          <w:rFonts w:eastAsiaTheme="minorEastAsia"/>
        </w:rPr>
      </w:pPr>
      <w:r>
        <w:t>Main-d’œuvre directe</w:t>
      </w:r>
    </w:p>
    <w:p w14:paraId="219894C3" w14:textId="77777777" w:rsidR="005D07A6" w:rsidRDefault="00F42774">
      <w:pPr>
        <w:pStyle w:val="CT"/>
      </w:pPr>
      <w:r>
        <w:t>Atelier 1 : 540 heures à 25 € l’heure (dont 200 heures pour P1).</w:t>
      </w:r>
    </w:p>
    <w:p w14:paraId="758FC452" w14:textId="77777777" w:rsidR="005D07A6" w:rsidRDefault="00F42774">
      <w:pPr>
        <w:pStyle w:val="CT"/>
      </w:pPr>
      <w:r>
        <w:t>Atelier 2 : opération entièrement automatisée sans intervention du personnel.</w:t>
      </w:r>
    </w:p>
    <w:p w14:paraId="276B7993" w14:textId="77777777" w:rsidR="005D07A6" w:rsidRDefault="00F42774">
      <w:pPr>
        <w:pStyle w:val="TNiv1"/>
      </w:pPr>
      <w:r>
        <w:t>Nombre d’heures-machine en atelier 2</w:t>
      </w:r>
    </w:p>
    <w:p w14:paraId="6123B293" w14:textId="77777777" w:rsidR="005D07A6" w:rsidRDefault="00F42774">
      <w:pPr>
        <w:pStyle w:val="CT"/>
      </w:pPr>
      <w:r>
        <w:t>620 heures (dont 300 heures pour P1).</w:t>
      </w:r>
    </w:p>
    <w:p w14:paraId="318697C1" w14:textId="77777777" w:rsidR="005D07A6" w:rsidRDefault="00F42774">
      <w:pPr>
        <w:pStyle w:val="TNiv1"/>
      </w:pPr>
      <w:r>
        <w:t>Matières premières consommées</w:t>
      </w:r>
    </w:p>
    <w:p w14:paraId="1378A59A" w14:textId="77777777" w:rsidR="005D07A6" w:rsidRDefault="00F42774">
      <w:pPr>
        <w:pStyle w:val="CT"/>
      </w:pPr>
      <w:r>
        <w:t>La production de P1 a nécessité 2 800 m</w:t>
      </w:r>
      <w:r>
        <w:rPr>
          <w:vertAlign w:val="superscript"/>
        </w:rPr>
        <w:t>2</w:t>
      </w:r>
      <w:r>
        <w:t xml:space="preserve"> et celle de P2, 1 730 m</w:t>
      </w:r>
      <w:r>
        <w:rPr>
          <w:vertAlign w:val="superscript"/>
        </w:rPr>
        <w:t>2</w:t>
      </w:r>
      <w:r>
        <w:t>.</w:t>
      </w:r>
    </w:p>
    <w:p w14:paraId="1675BA4C" w14:textId="77777777" w:rsidR="005D07A6" w:rsidRDefault="00F42774">
      <w:pPr>
        <w:pStyle w:val="TNiv1"/>
      </w:pPr>
      <w:r>
        <w:t>Ventes du mois</w:t>
      </w:r>
    </w:p>
    <w:tbl>
      <w:tblPr>
        <w:tblW w:w="3419" w:type="dxa"/>
        <w:tblInd w:w="1701" w:type="dxa"/>
        <w:tblLook w:val="04A0" w:firstRow="1" w:lastRow="0" w:firstColumn="1" w:lastColumn="0" w:noHBand="0" w:noVBand="1"/>
      </w:tblPr>
      <w:tblGrid>
        <w:gridCol w:w="1139"/>
        <w:gridCol w:w="1140"/>
        <w:gridCol w:w="1140"/>
      </w:tblGrid>
      <w:tr w:rsidR="005D07A6" w14:paraId="5CD85B18" w14:textId="77777777">
        <w:tc>
          <w:tcPr>
            <w:tcW w:w="85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D78B5AC" w14:textId="77777777" w:rsidR="005D07A6" w:rsidRDefault="00F42774">
            <w:pPr>
              <w:pStyle w:val="TA1"/>
              <w:jc w:val="center"/>
              <w:rPr>
                <w:rFonts w:eastAsiaTheme="minorEastAsia"/>
              </w:rPr>
            </w:pPr>
            <w:r>
              <w:rPr>
                <w:b/>
                <w:bCs/>
              </w:rPr>
              <w:t>Éléments</w:t>
            </w:r>
          </w:p>
        </w:tc>
        <w:tc>
          <w:tcPr>
            <w:tcW w:w="85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ADE6CF0" w14:textId="77777777" w:rsidR="005D07A6" w:rsidRDefault="00F42774">
            <w:pPr>
              <w:pStyle w:val="TA1"/>
              <w:jc w:val="center"/>
              <w:rPr>
                <w:rFonts w:eastAsiaTheme="minorEastAsia"/>
              </w:rPr>
            </w:pPr>
            <w:r>
              <w:rPr>
                <w:b/>
                <w:bCs/>
              </w:rPr>
              <w:t>Quantité</w:t>
            </w:r>
          </w:p>
        </w:tc>
        <w:tc>
          <w:tcPr>
            <w:tcW w:w="85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2060AC8" w14:textId="77777777" w:rsidR="005D07A6" w:rsidRDefault="00F42774">
            <w:pPr>
              <w:pStyle w:val="TA1"/>
              <w:jc w:val="center"/>
              <w:rPr>
                <w:rFonts w:eastAsiaTheme="minorEastAsia"/>
              </w:rPr>
            </w:pPr>
            <w:r>
              <w:rPr>
                <w:b/>
                <w:bCs/>
              </w:rPr>
              <w:t>Prix unitaire</w:t>
            </w:r>
          </w:p>
        </w:tc>
      </w:tr>
      <w:tr w:rsidR="005D07A6" w14:paraId="74531108" w14:textId="77777777">
        <w:tc>
          <w:tcPr>
            <w:tcW w:w="85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32B89A6" w14:textId="77777777" w:rsidR="005D07A6" w:rsidRDefault="00F42774">
            <w:pPr>
              <w:pStyle w:val="TA1"/>
              <w:rPr>
                <w:rFonts w:eastAsiaTheme="minorEastAsia"/>
              </w:rPr>
            </w:pPr>
            <w:r>
              <w:t>P1</w:t>
            </w:r>
          </w:p>
        </w:tc>
        <w:tc>
          <w:tcPr>
            <w:tcW w:w="85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84C8EA7" w14:textId="77777777" w:rsidR="005D07A6" w:rsidRDefault="00F42774">
            <w:pPr>
              <w:pStyle w:val="TA1"/>
              <w:jc w:val="right"/>
              <w:rPr>
                <w:rFonts w:eastAsiaTheme="minorEastAsia"/>
              </w:rPr>
            </w:pPr>
            <w:r>
              <w:t>7 300</w:t>
            </w:r>
          </w:p>
        </w:tc>
        <w:tc>
          <w:tcPr>
            <w:tcW w:w="85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C09857E" w14:textId="77777777" w:rsidR="005D07A6" w:rsidRDefault="00F42774">
            <w:pPr>
              <w:pStyle w:val="TA1"/>
              <w:jc w:val="right"/>
              <w:rPr>
                <w:rFonts w:eastAsiaTheme="minorEastAsia"/>
              </w:rPr>
            </w:pPr>
            <w:r>
              <w:t>34 €</w:t>
            </w:r>
          </w:p>
        </w:tc>
      </w:tr>
      <w:tr w:rsidR="005D07A6" w14:paraId="11ACD28A" w14:textId="77777777">
        <w:tc>
          <w:tcPr>
            <w:tcW w:w="85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1C14D14" w14:textId="77777777" w:rsidR="005D07A6" w:rsidRDefault="00F42774">
            <w:pPr>
              <w:pStyle w:val="TA1"/>
              <w:rPr>
                <w:rFonts w:eastAsiaTheme="minorEastAsia"/>
              </w:rPr>
            </w:pPr>
            <w:r>
              <w:t>P2</w:t>
            </w:r>
          </w:p>
        </w:tc>
        <w:tc>
          <w:tcPr>
            <w:tcW w:w="85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FB6C4C4" w14:textId="77777777" w:rsidR="005D07A6" w:rsidRDefault="00F42774">
            <w:pPr>
              <w:pStyle w:val="TA1"/>
              <w:jc w:val="right"/>
              <w:rPr>
                <w:rFonts w:eastAsiaTheme="minorEastAsia"/>
              </w:rPr>
            </w:pPr>
            <w:r>
              <w:t>2 750</w:t>
            </w:r>
          </w:p>
        </w:tc>
        <w:tc>
          <w:tcPr>
            <w:tcW w:w="85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1A77E81" w14:textId="77777777" w:rsidR="005D07A6" w:rsidRDefault="00F42774">
            <w:pPr>
              <w:pStyle w:val="TA1"/>
              <w:jc w:val="right"/>
              <w:rPr>
                <w:rFonts w:eastAsiaTheme="minorEastAsia"/>
              </w:rPr>
            </w:pPr>
            <w:r>
              <w:t>122 €</w:t>
            </w:r>
          </w:p>
        </w:tc>
      </w:tr>
    </w:tbl>
    <w:p w14:paraId="2E15AA0A" w14:textId="77777777" w:rsidR="005D07A6" w:rsidRDefault="00F42774">
      <w:pPr>
        <w:pStyle w:val="TNiv1"/>
        <w:rPr>
          <w:rFonts w:eastAsiaTheme="minorEastAsia"/>
        </w:rPr>
      </w:pPr>
      <w:r>
        <w:lastRenderedPageBreak/>
        <w:t>Tableau d’analyse des charges indirectes du mois</w:t>
      </w:r>
    </w:p>
    <w:p w14:paraId="1028FF90" w14:textId="77777777" w:rsidR="005D07A6" w:rsidRDefault="00F42774">
      <w:pPr>
        <w:pStyle w:val="CT"/>
      </w:pPr>
      <w:r>
        <w:t>La société a été découpée en 6 centres d’analyse : les centres C1 et C2 qui sont des centres auxiliaires et les centres C3 à C6 qui sont des centres principaux.</w:t>
      </w:r>
    </w:p>
    <w:p w14:paraId="0FE102CE" w14:textId="77777777" w:rsidR="005D07A6" w:rsidRDefault="00F42774">
      <w:pPr>
        <w:pStyle w:val="CT"/>
      </w:pPr>
      <w:r>
        <w:t>C1 : entretien</w:t>
      </w:r>
    </w:p>
    <w:p w14:paraId="46355F9B" w14:textId="77777777" w:rsidR="005D07A6" w:rsidRDefault="00F42774">
      <w:pPr>
        <w:pStyle w:val="CT"/>
      </w:pPr>
      <w:r>
        <w:t>C2 : gestion du matériel</w:t>
      </w:r>
    </w:p>
    <w:p w14:paraId="08A19970" w14:textId="77777777" w:rsidR="005D07A6" w:rsidRDefault="00F42774">
      <w:pPr>
        <w:pStyle w:val="CT"/>
      </w:pPr>
      <w:r>
        <w:t>C3 : approvisionnement dont l’unité d’œuvre est le m</w:t>
      </w:r>
      <w:r>
        <w:rPr>
          <w:vertAlign w:val="superscript"/>
        </w:rPr>
        <w:t>2</w:t>
      </w:r>
      <w:r>
        <w:t xml:space="preserve"> acheté</w:t>
      </w:r>
    </w:p>
    <w:p w14:paraId="3A880A7F" w14:textId="77777777" w:rsidR="005D07A6" w:rsidRDefault="00F42774">
      <w:pPr>
        <w:pStyle w:val="CT"/>
      </w:pPr>
      <w:r>
        <w:t>C4 : atelier 1 dont l’unité d’œuvre est l’heure de main-d’œuvre directe</w:t>
      </w:r>
    </w:p>
    <w:p w14:paraId="10077571" w14:textId="77777777" w:rsidR="005D07A6" w:rsidRDefault="00F42774">
      <w:pPr>
        <w:pStyle w:val="CT"/>
      </w:pPr>
      <w:r>
        <w:t>C5 : atelier 2 dont l’unité d’œuvre est l’heure-machine</w:t>
      </w:r>
    </w:p>
    <w:p w14:paraId="09313896" w14:textId="77777777" w:rsidR="005D07A6" w:rsidRDefault="00F42774">
      <w:pPr>
        <w:pStyle w:val="CT"/>
      </w:pPr>
      <w:r>
        <w:t>C6 : administration dont l’unité d’œuvre est le coût de production des produits vendus</w:t>
      </w:r>
    </w:p>
    <w:tbl>
      <w:tblPr>
        <w:tblW w:w="6441" w:type="dxa"/>
        <w:tblInd w:w="1701" w:type="dxa"/>
        <w:tblLook w:val="04A0" w:firstRow="1" w:lastRow="0" w:firstColumn="1" w:lastColumn="0" w:noHBand="0" w:noVBand="1"/>
      </w:tblPr>
      <w:tblGrid>
        <w:gridCol w:w="2104"/>
        <w:gridCol w:w="702"/>
        <w:gridCol w:w="702"/>
        <w:gridCol w:w="702"/>
        <w:gridCol w:w="702"/>
        <w:gridCol w:w="827"/>
        <w:gridCol w:w="702"/>
      </w:tblGrid>
      <w:tr w:rsidR="005D07A6" w14:paraId="1CD34185" w14:textId="77777777">
        <w:tc>
          <w:tcPr>
            <w:tcW w:w="1680" w:type="dxa"/>
            <w:tcBorders>
              <w:top w:val="nil"/>
              <w:left w:val="nil"/>
              <w:bottom w:val="single" w:sz="4" w:space="0" w:color="auto"/>
              <w:right w:val="single" w:sz="4" w:space="0" w:color="auto"/>
            </w:tcBorders>
            <w:tcMar>
              <w:top w:w="0" w:type="dxa"/>
              <w:left w:w="2" w:type="dxa"/>
              <w:bottom w:w="0" w:type="dxa"/>
              <w:right w:w="2" w:type="dxa"/>
            </w:tcMar>
            <w:hideMark/>
          </w:tcPr>
          <w:p w14:paraId="40547F60" w14:textId="77777777" w:rsidR="005D07A6" w:rsidRDefault="005D07A6"/>
        </w:tc>
        <w:tc>
          <w:tcPr>
            <w:tcW w:w="52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4A75826" w14:textId="77777777" w:rsidR="005D07A6" w:rsidRDefault="00F42774">
            <w:pPr>
              <w:pStyle w:val="TA1"/>
              <w:jc w:val="center"/>
              <w:rPr>
                <w:rFonts w:eastAsiaTheme="minorEastAsia"/>
              </w:rPr>
            </w:pPr>
            <w:r>
              <w:rPr>
                <w:b/>
                <w:bCs/>
              </w:rPr>
              <w:t>C1</w:t>
            </w:r>
          </w:p>
        </w:tc>
        <w:tc>
          <w:tcPr>
            <w:tcW w:w="52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2ED6E37" w14:textId="77777777" w:rsidR="005D07A6" w:rsidRDefault="00F42774">
            <w:pPr>
              <w:pStyle w:val="TA1"/>
              <w:jc w:val="center"/>
              <w:rPr>
                <w:rFonts w:eastAsiaTheme="minorEastAsia"/>
              </w:rPr>
            </w:pPr>
            <w:r>
              <w:rPr>
                <w:b/>
                <w:bCs/>
              </w:rPr>
              <w:t>C2</w:t>
            </w:r>
          </w:p>
        </w:tc>
        <w:tc>
          <w:tcPr>
            <w:tcW w:w="52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9AA079B" w14:textId="77777777" w:rsidR="005D07A6" w:rsidRDefault="00F42774">
            <w:pPr>
              <w:pStyle w:val="TA1"/>
              <w:jc w:val="center"/>
              <w:rPr>
                <w:rFonts w:eastAsiaTheme="minorEastAsia"/>
              </w:rPr>
            </w:pPr>
            <w:r>
              <w:rPr>
                <w:b/>
                <w:bCs/>
              </w:rPr>
              <w:t>C3</w:t>
            </w:r>
          </w:p>
        </w:tc>
        <w:tc>
          <w:tcPr>
            <w:tcW w:w="52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AF26DB2" w14:textId="77777777" w:rsidR="005D07A6" w:rsidRDefault="00F42774">
            <w:pPr>
              <w:pStyle w:val="TA1"/>
              <w:jc w:val="center"/>
              <w:rPr>
                <w:rFonts w:eastAsiaTheme="minorEastAsia"/>
              </w:rPr>
            </w:pPr>
            <w:r>
              <w:rPr>
                <w:b/>
                <w:bCs/>
              </w:rPr>
              <w:t>C4</w:t>
            </w:r>
          </w:p>
        </w:tc>
        <w:tc>
          <w:tcPr>
            <w:tcW w:w="52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1671BD5" w14:textId="77777777" w:rsidR="005D07A6" w:rsidRDefault="00F42774">
            <w:pPr>
              <w:pStyle w:val="TA1"/>
              <w:jc w:val="center"/>
              <w:rPr>
                <w:rFonts w:eastAsiaTheme="minorEastAsia"/>
              </w:rPr>
            </w:pPr>
            <w:r>
              <w:rPr>
                <w:b/>
                <w:bCs/>
              </w:rPr>
              <w:t>C5</w:t>
            </w:r>
          </w:p>
        </w:tc>
        <w:tc>
          <w:tcPr>
            <w:tcW w:w="52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BA38FE0" w14:textId="77777777" w:rsidR="005D07A6" w:rsidRDefault="00F42774">
            <w:pPr>
              <w:pStyle w:val="TA1"/>
              <w:jc w:val="center"/>
              <w:rPr>
                <w:rFonts w:eastAsiaTheme="minorEastAsia"/>
              </w:rPr>
            </w:pPr>
            <w:r>
              <w:rPr>
                <w:b/>
                <w:bCs/>
              </w:rPr>
              <w:t>C6</w:t>
            </w:r>
          </w:p>
        </w:tc>
      </w:tr>
      <w:tr w:rsidR="005D07A6" w14:paraId="6E672642" w14:textId="77777777">
        <w:tc>
          <w:tcPr>
            <w:tcW w:w="16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F85472E" w14:textId="77777777" w:rsidR="005D07A6" w:rsidRDefault="00F42774">
            <w:pPr>
              <w:pStyle w:val="TA1"/>
              <w:rPr>
                <w:rFonts w:eastAsiaTheme="minorEastAsia"/>
              </w:rPr>
            </w:pPr>
            <w:r>
              <w:t>Total des charges indirectes après répartition primaire</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708B4EE" w14:textId="77777777" w:rsidR="005D07A6" w:rsidRDefault="00F42774">
            <w:pPr>
              <w:pStyle w:val="TA1"/>
              <w:jc w:val="right"/>
              <w:rPr>
                <w:rFonts w:eastAsiaTheme="minorEastAsia"/>
              </w:rPr>
            </w:pPr>
            <w:r>
              <w:t>33 000</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4120D2A" w14:textId="77777777" w:rsidR="005D07A6" w:rsidRDefault="00F42774">
            <w:pPr>
              <w:pStyle w:val="TA1"/>
              <w:jc w:val="right"/>
              <w:rPr>
                <w:rFonts w:eastAsiaTheme="minorEastAsia"/>
              </w:rPr>
            </w:pPr>
            <w:r>
              <w:t>80 000</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38FE404" w14:textId="77777777" w:rsidR="005D07A6" w:rsidRDefault="00F42774">
            <w:pPr>
              <w:pStyle w:val="TA1"/>
              <w:jc w:val="right"/>
              <w:rPr>
                <w:rFonts w:eastAsiaTheme="minorEastAsia"/>
              </w:rPr>
            </w:pPr>
            <w:r>
              <w:t>75 000</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22B4C89" w14:textId="77777777" w:rsidR="005D07A6" w:rsidRDefault="00F42774">
            <w:pPr>
              <w:pStyle w:val="TA1"/>
              <w:jc w:val="right"/>
              <w:rPr>
                <w:rFonts w:eastAsiaTheme="minorEastAsia"/>
              </w:rPr>
            </w:pPr>
            <w:r>
              <w:t>87 000</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22410DD" w14:textId="77777777" w:rsidR="005D07A6" w:rsidRDefault="00F42774">
            <w:pPr>
              <w:pStyle w:val="TA1"/>
              <w:jc w:val="right"/>
              <w:rPr>
                <w:rFonts w:eastAsiaTheme="minorEastAsia"/>
              </w:rPr>
            </w:pPr>
            <w:r>
              <w:t>143 000</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CA7DA1C" w14:textId="77777777" w:rsidR="005D07A6" w:rsidRDefault="00F42774">
            <w:pPr>
              <w:pStyle w:val="TA1"/>
              <w:jc w:val="right"/>
              <w:rPr>
                <w:rFonts w:eastAsiaTheme="minorEastAsia"/>
              </w:rPr>
            </w:pPr>
            <w:r>
              <w:t>44 000</w:t>
            </w:r>
          </w:p>
        </w:tc>
      </w:tr>
      <w:tr w:rsidR="005D07A6" w14:paraId="35627E8E" w14:textId="77777777">
        <w:tc>
          <w:tcPr>
            <w:tcW w:w="16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63393C3" w14:textId="77777777" w:rsidR="005D07A6" w:rsidRDefault="00F42774">
            <w:pPr>
              <w:pStyle w:val="TA1"/>
              <w:rPr>
                <w:rFonts w:eastAsiaTheme="minorEastAsia"/>
              </w:rPr>
            </w:pPr>
            <w:r>
              <w:t>Répartition secondaire C1</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3B854F8"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1A05940" w14:textId="77777777" w:rsidR="005D07A6" w:rsidRDefault="00F42774">
            <w:pPr>
              <w:pStyle w:val="TA1"/>
              <w:jc w:val="right"/>
              <w:rPr>
                <w:rFonts w:eastAsiaTheme="minorEastAsia"/>
              </w:rPr>
            </w:pPr>
            <w:r>
              <w:t>10 %</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F8CDE12" w14:textId="77777777" w:rsidR="005D07A6" w:rsidRDefault="00F42774">
            <w:pPr>
              <w:pStyle w:val="TA1"/>
              <w:jc w:val="right"/>
              <w:rPr>
                <w:rFonts w:eastAsiaTheme="minorEastAsia"/>
              </w:rPr>
            </w:pPr>
            <w:r>
              <w:t>10 %</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A3008A5" w14:textId="77777777" w:rsidR="005D07A6" w:rsidRDefault="00F42774">
            <w:pPr>
              <w:pStyle w:val="TA1"/>
              <w:jc w:val="right"/>
              <w:rPr>
                <w:rFonts w:eastAsiaTheme="minorEastAsia"/>
              </w:rPr>
            </w:pPr>
            <w:r>
              <w:t>20 %</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FC86CF3" w14:textId="77777777" w:rsidR="005D07A6" w:rsidRDefault="00F42774">
            <w:pPr>
              <w:pStyle w:val="TA1"/>
              <w:jc w:val="right"/>
              <w:rPr>
                <w:rFonts w:eastAsiaTheme="minorEastAsia"/>
              </w:rPr>
            </w:pPr>
            <w:r>
              <w:t>40 %</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70852F0" w14:textId="77777777" w:rsidR="005D07A6" w:rsidRDefault="00F42774">
            <w:pPr>
              <w:pStyle w:val="TA1"/>
              <w:jc w:val="right"/>
              <w:rPr>
                <w:rFonts w:eastAsiaTheme="minorEastAsia"/>
              </w:rPr>
            </w:pPr>
            <w:r>
              <w:t>20 %</w:t>
            </w:r>
          </w:p>
        </w:tc>
      </w:tr>
      <w:tr w:rsidR="005D07A6" w14:paraId="486610A7" w14:textId="77777777">
        <w:tc>
          <w:tcPr>
            <w:tcW w:w="16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E9DDE5C" w14:textId="77777777" w:rsidR="005D07A6" w:rsidRDefault="00F42774">
            <w:pPr>
              <w:pStyle w:val="TA1"/>
              <w:rPr>
                <w:rFonts w:eastAsiaTheme="minorEastAsia"/>
              </w:rPr>
            </w:pPr>
            <w:r>
              <w:t>Répartition secondaire C2</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96841EB" w14:textId="77777777" w:rsidR="005D07A6" w:rsidRDefault="00F42774">
            <w:pPr>
              <w:pStyle w:val="TA1"/>
              <w:jc w:val="right"/>
              <w:rPr>
                <w:rFonts w:eastAsiaTheme="minorEastAsia"/>
              </w:rPr>
            </w:pPr>
            <w:r>
              <w:t>20 %</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FB5ADB0"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7D50032" w14:textId="77777777" w:rsidR="005D07A6" w:rsidRDefault="00F42774">
            <w:pPr>
              <w:pStyle w:val="TA1"/>
              <w:jc w:val="right"/>
              <w:rPr>
                <w:rFonts w:eastAsiaTheme="minorEastAsia"/>
              </w:rPr>
            </w:pPr>
            <w:r>
              <w:t>10 %</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1754E09" w14:textId="77777777" w:rsidR="005D07A6" w:rsidRDefault="00F42774">
            <w:pPr>
              <w:pStyle w:val="TA1"/>
              <w:jc w:val="right"/>
              <w:rPr>
                <w:rFonts w:eastAsiaTheme="minorEastAsia"/>
              </w:rPr>
            </w:pPr>
            <w:r>
              <w:t>30 %</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C3FA13C" w14:textId="77777777" w:rsidR="005D07A6" w:rsidRDefault="00F42774">
            <w:pPr>
              <w:pStyle w:val="TA1"/>
              <w:jc w:val="right"/>
              <w:rPr>
                <w:rFonts w:eastAsiaTheme="minorEastAsia"/>
              </w:rPr>
            </w:pPr>
            <w:r>
              <w:t>30 %</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0195F33" w14:textId="77777777" w:rsidR="005D07A6" w:rsidRDefault="00F42774">
            <w:pPr>
              <w:pStyle w:val="TA1"/>
              <w:jc w:val="right"/>
              <w:rPr>
                <w:rFonts w:eastAsiaTheme="minorEastAsia"/>
              </w:rPr>
            </w:pPr>
            <w:r>
              <w:t>10 %</w:t>
            </w:r>
          </w:p>
        </w:tc>
      </w:tr>
    </w:tbl>
    <w:p w14:paraId="0E99AA71" w14:textId="77777777" w:rsidR="005D07A6" w:rsidRDefault="00F42774">
      <w:pPr>
        <w:pStyle w:val="finfilet"/>
        <w:rPr>
          <w:rFonts w:eastAsiaTheme="minorEastAsia"/>
        </w:rPr>
      </w:pPr>
      <w:r>
        <w:t>Fin Annexe</w:t>
      </w:r>
    </w:p>
    <w:p w14:paraId="382C6760" w14:textId="77777777" w:rsidR="005D07A6" w:rsidRDefault="00F42774">
      <w:pPr>
        <w:pStyle w:val="finfiletr"/>
      </w:pPr>
      <w:r>
        <w:t>Fin Annexes</w:t>
      </w:r>
    </w:p>
    <w:p w14:paraId="1A869BCE" w14:textId="77777777" w:rsidR="005D07A6" w:rsidRDefault="00F42774">
      <w:pPr>
        <w:pStyle w:val="finfilet"/>
      </w:pPr>
      <w:r>
        <w:t>Fin Enonce</w:t>
      </w:r>
    </w:p>
    <w:p w14:paraId="3913DDB7" w14:textId="77777777" w:rsidR="005D07A6" w:rsidRDefault="00F42774">
      <w:pPr>
        <w:pStyle w:val="debutfilet"/>
      </w:pPr>
      <w:r>
        <w:t>Corrige</w:t>
      </w:r>
    </w:p>
    <w:p w14:paraId="4A2D91F1" w14:textId="77777777" w:rsidR="005D07A6" w:rsidRDefault="00F42774">
      <w:pPr>
        <w:pStyle w:val="LibelleRubrique"/>
      </w:pPr>
      <w:r>
        <w:t>Corrigé</w:t>
      </w:r>
    </w:p>
    <w:p w14:paraId="5144A9EF" w14:textId="77777777" w:rsidR="005D07A6" w:rsidRDefault="00F42774">
      <w:pPr>
        <w:pStyle w:val="TNiv1"/>
      </w:pPr>
      <w:r>
        <w:rPr>
          <w:rStyle w:val="RefQuestion"/>
        </w:rPr>
        <w:t>1</w:t>
      </w:r>
      <w:r>
        <w:t>. Tableau de répartition des charges indirectes</w:t>
      </w:r>
    </w:p>
    <w:p w14:paraId="5238186E" w14:textId="77777777" w:rsidR="005D07A6" w:rsidRDefault="00F42774">
      <w:pPr>
        <w:pStyle w:val="CT"/>
      </w:pPr>
      <w:r>
        <w:t>Détermination préalable des prestations réciproques :</w:t>
      </w:r>
    </w:p>
    <w:p w14:paraId="4D0E0F4C" w14:textId="77777777" w:rsidR="005D07A6" w:rsidRDefault="00F42774">
      <w:pPr>
        <w:pStyle w:val="ET"/>
      </w:pPr>
      <w:r>
        <w:t>soit X le total du centre C1 après prestations réciproques ;</w:t>
      </w:r>
    </w:p>
    <w:p w14:paraId="2F6DC08F" w14:textId="77777777" w:rsidR="005D07A6" w:rsidRDefault="00F42774">
      <w:pPr>
        <w:pStyle w:val="ET"/>
      </w:pPr>
      <w:r>
        <w:t>soit Y le total du centre C2 après prestations réciproques.</w:t>
      </w:r>
    </w:p>
    <w:p w14:paraId="208101A5" w14:textId="77777777" w:rsidR="005D07A6" w:rsidRDefault="00362F64">
      <w:pPr>
        <w:pStyle w:val="CTEspDessous"/>
      </w:pPr>
      <m:oMathPara>
        <m:oMath>
          <m:d>
            <m:dPr>
              <m:begChr m:val="{"/>
              <m:endChr m:val=""/>
              <m:ctrlPr>
                <w:rPr>
                  <w:rFonts w:ascii="Cambria Math" w:hAnsi="Cambria Math"/>
                </w:rPr>
              </m:ctrlPr>
            </m:dPr>
            <m:e>
              <m:eqArr>
                <m:eqArrPr>
                  <m:ctrlPr>
                    <w:rPr>
                      <w:rFonts w:ascii="Cambria Math" w:hAnsi="Cambria Math"/>
                    </w:rPr>
                  </m:ctrlPr>
                </m:eqArrPr>
                <m:e>
                  <m:r>
                    <w:rPr>
                      <w:rFonts w:ascii="Cambria Math" w:hAnsi="Cambria Math"/>
                    </w:rPr>
                    <m:t>33</m:t>
                  </m:r>
                  <m:r>
                    <m:rPr>
                      <m:nor/>
                    </m:rPr>
                    <m:t>  </m:t>
                  </m:r>
                  <m:r>
                    <w:rPr>
                      <w:rFonts w:ascii="Cambria Math" w:hAnsi="Cambria Math"/>
                    </w:rPr>
                    <m:t>000-X</m:t>
                  </m:r>
                  <m:r>
                    <m:rPr>
                      <m:nor/>
                    </m:rPr>
                    <m:t> </m:t>
                  </m:r>
                  <m:r>
                    <w:rPr>
                      <w:rFonts w:ascii="Cambria Math" w:hAnsi="Cambria Math"/>
                    </w:rPr>
                    <m:t>+20</m:t>
                  </m:r>
                  <m:r>
                    <m:rPr>
                      <m:nor/>
                    </m:rPr>
                    <m:t>  </m:t>
                  </m:r>
                  <m:r>
                    <w:rPr>
                      <w:rFonts w:ascii="Cambria Math" w:hAnsi="Cambria Math"/>
                    </w:rPr>
                    <m:t>%</m:t>
                  </m:r>
                  <m:r>
                    <m:rPr>
                      <m:nor/>
                    </m:rPr>
                    <m:t>  </m:t>
                  </m:r>
                  <m:r>
                    <w:rPr>
                      <w:rFonts w:ascii="Cambria Math" w:hAnsi="Cambria Math"/>
                    </w:rPr>
                    <m:t>Y=0</m:t>
                  </m:r>
                </m:e>
                <m:e>
                  <m:r>
                    <w:rPr>
                      <w:rFonts w:ascii="Cambria Math" w:hAnsi="Cambria Math"/>
                    </w:rPr>
                    <m:t>80</m:t>
                  </m:r>
                  <m:r>
                    <m:rPr>
                      <m:nor/>
                    </m:rPr>
                    <m:t>  </m:t>
                  </m:r>
                  <m:r>
                    <w:rPr>
                      <w:rFonts w:ascii="Cambria Math" w:hAnsi="Cambria Math"/>
                    </w:rPr>
                    <m:t>000+10</m:t>
                  </m:r>
                  <m:r>
                    <m:rPr>
                      <m:nor/>
                    </m:rPr>
                    <m:t>  </m:t>
                  </m:r>
                  <m:r>
                    <w:rPr>
                      <w:rFonts w:ascii="Cambria Math" w:hAnsi="Cambria Math"/>
                    </w:rPr>
                    <m:t>%</m:t>
                  </m:r>
                  <m:r>
                    <m:rPr>
                      <m:nor/>
                    </m:rPr>
                    <m:t>  </m:t>
                  </m:r>
                  <m:r>
                    <w:rPr>
                      <w:rFonts w:ascii="Cambria Math" w:hAnsi="Cambria Math"/>
                    </w:rPr>
                    <m:t>X</m:t>
                  </m:r>
                  <m:r>
                    <m:rPr>
                      <m:nor/>
                    </m:rPr>
                    <m:t>  </m:t>
                  </m:r>
                  <m:r>
                    <w:rPr>
                      <w:rFonts w:ascii="Cambria Math" w:hAnsi="Cambria Math"/>
                    </w:rPr>
                    <m:t>-</m:t>
                  </m:r>
                  <m:r>
                    <m:rPr>
                      <m:nor/>
                    </m:rPr>
                    <m:t>  </m:t>
                  </m:r>
                  <m:r>
                    <w:rPr>
                      <w:rFonts w:ascii="Cambria Math" w:hAnsi="Cambria Math"/>
                    </w:rPr>
                    <m:t>Y=0</m:t>
                  </m:r>
                </m:e>
              </m:eqArr>
            </m:e>
          </m:d>
        </m:oMath>
      </m:oMathPara>
    </w:p>
    <w:p w14:paraId="1028ECAA" w14:textId="77777777" w:rsidR="005D07A6" w:rsidRDefault="00F42774">
      <w:pPr>
        <w:pStyle w:val="CTEspDessous"/>
      </w:pPr>
      <w:r>
        <w:t>X = 50 000 et Y = 85 000</w:t>
      </w:r>
    </w:p>
    <w:tbl>
      <w:tblPr>
        <w:tblW w:w="7439" w:type="dxa"/>
        <w:tblInd w:w="1701" w:type="dxa"/>
        <w:tblLook w:val="04A0" w:firstRow="1" w:lastRow="0" w:firstColumn="1" w:lastColumn="0" w:noHBand="0" w:noVBand="1"/>
      </w:tblPr>
      <w:tblGrid>
        <w:gridCol w:w="1841"/>
        <w:gridCol w:w="750"/>
        <w:gridCol w:w="750"/>
        <w:gridCol w:w="811"/>
        <w:gridCol w:w="934"/>
        <w:gridCol w:w="934"/>
        <w:gridCol w:w="1419"/>
      </w:tblGrid>
      <w:tr w:rsidR="005D07A6" w14:paraId="54859353" w14:textId="77777777">
        <w:tc>
          <w:tcPr>
            <w:tcW w:w="1500" w:type="dxa"/>
            <w:tcBorders>
              <w:top w:val="nil"/>
              <w:left w:val="nil"/>
              <w:bottom w:val="single" w:sz="4" w:space="0" w:color="auto"/>
              <w:right w:val="single" w:sz="4" w:space="0" w:color="auto"/>
            </w:tcBorders>
            <w:tcMar>
              <w:top w:w="0" w:type="dxa"/>
              <w:left w:w="2" w:type="dxa"/>
              <w:bottom w:w="0" w:type="dxa"/>
              <w:right w:w="2" w:type="dxa"/>
            </w:tcMar>
            <w:hideMark/>
          </w:tcPr>
          <w:p w14:paraId="0D0BE172" w14:textId="77777777" w:rsidR="005D07A6" w:rsidRDefault="005D07A6"/>
        </w:tc>
        <w:tc>
          <w:tcPr>
            <w:tcW w:w="54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BD481EC" w14:textId="77777777" w:rsidR="005D07A6" w:rsidRDefault="00F42774">
            <w:pPr>
              <w:pStyle w:val="TA1"/>
              <w:jc w:val="center"/>
              <w:rPr>
                <w:rFonts w:eastAsiaTheme="minorEastAsia"/>
              </w:rPr>
            </w:pPr>
            <w:r>
              <w:rPr>
                <w:b/>
                <w:bCs/>
              </w:rPr>
              <w:t>C1</w:t>
            </w:r>
          </w:p>
        </w:tc>
        <w:tc>
          <w:tcPr>
            <w:tcW w:w="54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288F45B" w14:textId="77777777" w:rsidR="005D07A6" w:rsidRDefault="00F42774">
            <w:pPr>
              <w:pStyle w:val="TA1"/>
              <w:jc w:val="center"/>
              <w:rPr>
                <w:rFonts w:eastAsiaTheme="minorEastAsia"/>
              </w:rPr>
            </w:pPr>
            <w:r>
              <w:rPr>
                <w:b/>
                <w:bCs/>
              </w:rPr>
              <w:t>C2</w:t>
            </w:r>
          </w:p>
        </w:tc>
        <w:tc>
          <w:tcPr>
            <w:tcW w:w="61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B1314B0" w14:textId="77777777" w:rsidR="005D07A6" w:rsidRDefault="00F42774">
            <w:pPr>
              <w:pStyle w:val="TA1"/>
              <w:jc w:val="center"/>
              <w:rPr>
                <w:rFonts w:eastAsiaTheme="minorEastAsia"/>
              </w:rPr>
            </w:pPr>
            <w:r>
              <w:rPr>
                <w:b/>
                <w:bCs/>
              </w:rPr>
              <w:t>C3</w:t>
            </w:r>
          </w:p>
        </w:tc>
        <w:tc>
          <w:tcPr>
            <w:tcW w:w="57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60D5E4E" w14:textId="77777777" w:rsidR="005D07A6" w:rsidRDefault="00F42774">
            <w:pPr>
              <w:pStyle w:val="TA1"/>
              <w:jc w:val="center"/>
              <w:rPr>
                <w:rFonts w:eastAsiaTheme="minorEastAsia"/>
              </w:rPr>
            </w:pPr>
            <w:r>
              <w:rPr>
                <w:b/>
                <w:bCs/>
              </w:rPr>
              <w:t>C4</w:t>
            </w:r>
          </w:p>
        </w:tc>
        <w:tc>
          <w:tcPr>
            <w:tcW w:w="67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9E7C349" w14:textId="77777777" w:rsidR="005D07A6" w:rsidRDefault="00F42774">
            <w:pPr>
              <w:pStyle w:val="TA1"/>
              <w:jc w:val="center"/>
              <w:rPr>
                <w:rFonts w:eastAsiaTheme="minorEastAsia"/>
              </w:rPr>
            </w:pPr>
            <w:r>
              <w:rPr>
                <w:b/>
                <w:bCs/>
              </w:rPr>
              <w:t>C5</w:t>
            </w:r>
          </w:p>
        </w:tc>
        <w:tc>
          <w:tcPr>
            <w:tcW w:w="114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B3B7F0B" w14:textId="77777777" w:rsidR="005D07A6" w:rsidRDefault="00F42774">
            <w:pPr>
              <w:pStyle w:val="TA1"/>
              <w:jc w:val="center"/>
              <w:rPr>
                <w:rFonts w:eastAsiaTheme="minorEastAsia"/>
              </w:rPr>
            </w:pPr>
            <w:r>
              <w:rPr>
                <w:b/>
                <w:bCs/>
              </w:rPr>
              <w:t>C6</w:t>
            </w:r>
          </w:p>
        </w:tc>
      </w:tr>
      <w:tr w:rsidR="005D07A6" w14:paraId="2AC2ECDC" w14:textId="77777777">
        <w:tc>
          <w:tcPr>
            <w:tcW w:w="150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371B830" w14:textId="77777777" w:rsidR="005D07A6" w:rsidRDefault="00F42774">
            <w:pPr>
              <w:pStyle w:val="TA1"/>
              <w:rPr>
                <w:rFonts w:eastAsiaTheme="minorEastAsia"/>
              </w:rPr>
            </w:pPr>
            <w:r>
              <w:t>Total des charges indirectes après répartition primaire</w:t>
            </w:r>
          </w:p>
        </w:tc>
        <w:tc>
          <w:tcPr>
            <w:tcW w:w="54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CB3C587" w14:textId="77777777" w:rsidR="005D07A6" w:rsidRDefault="00F42774">
            <w:pPr>
              <w:pStyle w:val="TA1"/>
              <w:jc w:val="right"/>
              <w:rPr>
                <w:rFonts w:eastAsiaTheme="minorEastAsia"/>
              </w:rPr>
            </w:pPr>
            <w:r>
              <w:t>33 000</w:t>
            </w:r>
          </w:p>
        </w:tc>
        <w:tc>
          <w:tcPr>
            <w:tcW w:w="54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7ADBFCE" w14:textId="77777777" w:rsidR="005D07A6" w:rsidRDefault="00F42774">
            <w:pPr>
              <w:pStyle w:val="TA1"/>
              <w:jc w:val="right"/>
              <w:rPr>
                <w:rFonts w:eastAsiaTheme="minorEastAsia"/>
              </w:rPr>
            </w:pPr>
            <w:r>
              <w:t>80 000</w:t>
            </w:r>
          </w:p>
        </w:tc>
        <w:tc>
          <w:tcPr>
            <w:tcW w:w="61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FA43406" w14:textId="77777777" w:rsidR="005D07A6" w:rsidRDefault="00F42774">
            <w:pPr>
              <w:pStyle w:val="TA1"/>
              <w:jc w:val="right"/>
              <w:rPr>
                <w:rFonts w:eastAsiaTheme="minorEastAsia"/>
              </w:rPr>
            </w:pPr>
            <w:r>
              <w:t>75 000</w:t>
            </w:r>
          </w:p>
        </w:tc>
        <w:tc>
          <w:tcPr>
            <w:tcW w:w="57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96CC37D" w14:textId="77777777" w:rsidR="005D07A6" w:rsidRDefault="00F42774">
            <w:pPr>
              <w:pStyle w:val="TA1"/>
              <w:jc w:val="right"/>
              <w:rPr>
                <w:rFonts w:eastAsiaTheme="minorEastAsia"/>
              </w:rPr>
            </w:pPr>
            <w:r>
              <w:t>87 000</w:t>
            </w:r>
          </w:p>
        </w:tc>
        <w:tc>
          <w:tcPr>
            <w:tcW w:w="6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C946F2D" w14:textId="77777777" w:rsidR="005D07A6" w:rsidRDefault="00F42774">
            <w:pPr>
              <w:pStyle w:val="TA1"/>
              <w:jc w:val="right"/>
              <w:rPr>
                <w:rFonts w:eastAsiaTheme="minorEastAsia"/>
              </w:rPr>
            </w:pPr>
            <w:r>
              <w:t>143 000</w:t>
            </w:r>
          </w:p>
        </w:tc>
        <w:tc>
          <w:tcPr>
            <w:tcW w:w="114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579BFE2" w14:textId="77777777" w:rsidR="005D07A6" w:rsidRDefault="00F42774">
            <w:pPr>
              <w:pStyle w:val="TA1"/>
              <w:jc w:val="right"/>
              <w:rPr>
                <w:rFonts w:eastAsiaTheme="minorEastAsia"/>
              </w:rPr>
            </w:pPr>
            <w:r>
              <w:t>44 000</w:t>
            </w:r>
          </w:p>
        </w:tc>
      </w:tr>
      <w:tr w:rsidR="005D07A6" w14:paraId="77170053" w14:textId="77777777">
        <w:tc>
          <w:tcPr>
            <w:tcW w:w="1500" w:type="dxa"/>
            <w:tcBorders>
              <w:top w:val="nil"/>
              <w:left w:val="single" w:sz="4" w:space="0" w:color="auto"/>
              <w:bottom w:val="nil"/>
              <w:right w:val="single" w:sz="4" w:space="0" w:color="auto"/>
            </w:tcBorders>
            <w:tcMar>
              <w:top w:w="0" w:type="dxa"/>
              <w:left w:w="2" w:type="dxa"/>
              <w:bottom w:w="0" w:type="dxa"/>
              <w:right w:w="2" w:type="dxa"/>
            </w:tcMar>
            <w:hideMark/>
          </w:tcPr>
          <w:p w14:paraId="130590C3" w14:textId="77777777" w:rsidR="005D07A6" w:rsidRDefault="00F42774">
            <w:pPr>
              <w:pStyle w:val="TA1"/>
              <w:rPr>
                <w:rFonts w:eastAsiaTheme="minorEastAsia"/>
              </w:rPr>
            </w:pPr>
            <w:r>
              <w:t>Répartition secondaire C1</w:t>
            </w:r>
          </w:p>
        </w:tc>
        <w:tc>
          <w:tcPr>
            <w:tcW w:w="540" w:type="dxa"/>
            <w:tcBorders>
              <w:top w:val="nil"/>
              <w:left w:val="single" w:sz="4" w:space="0" w:color="auto"/>
              <w:bottom w:val="nil"/>
              <w:right w:val="single" w:sz="4" w:space="0" w:color="auto"/>
            </w:tcBorders>
            <w:tcMar>
              <w:top w:w="0" w:type="dxa"/>
              <w:left w:w="2" w:type="dxa"/>
              <w:bottom w:w="0" w:type="dxa"/>
              <w:right w:w="2" w:type="dxa"/>
            </w:tcMar>
            <w:hideMark/>
          </w:tcPr>
          <w:p w14:paraId="578F3E56" w14:textId="77777777" w:rsidR="005D07A6" w:rsidRDefault="00F42774">
            <w:pPr>
              <w:pStyle w:val="TA1"/>
              <w:jc w:val="right"/>
              <w:rPr>
                <w:rFonts w:eastAsiaTheme="minorEastAsia"/>
              </w:rPr>
            </w:pPr>
            <w:r>
              <w:t>– 50 000</w:t>
            </w:r>
          </w:p>
        </w:tc>
        <w:tc>
          <w:tcPr>
            <w:tcW w:w="540" w:type="dxa"/>
            <w:tcBorders>
              <w:top w:val="nil"/>
              <w:left w:val="single" w:sz="4" w:space="0" w:color="auto"/>
              <w:bottom w:val="nil"/>
              <w:right w:val="single" w:sz="4" w:space="0" w:color="auto"/>
            </w:tcBorders>
            <w:tcMar>
              <w:top w:w="0" w:type="dxa"/>
              <w:left w:w="2" w:type="dxa"/>
              <w:bottom w:w="0" w:type="dxa"/>
              <w:right w:w="2" w:type="dxa"/>
            </w:tcMar>
            <w:hideMark/>
          </w:tcPr>
          <w:p w14:paraId="2D575D9B" w14:textId="77777777" w:rsidR="005D07A6" w:rsidRDefault="00F42774">
            <w:pPr>
              <w:pStyle w:val="TA1"/>
              <w:jc w:val="right"/>
              <w:rPr>
                <w:rFonts w:eastAsiaTheme="minorEastAsia"/>
              </w:rPr>
            </w:pPr>
            <w:r>
              <w:t>5 000</w:t>
            </w:r>
          </w:p>
        </w:tc>
        <w:tc>
          <w:tcPr>
            <w:tcW w:w="615" w:type="dxa"/>
            <w:tcBorders>
              <w:top w:val="nil"/>
              <w:left w:val="single" w:sz="4" w:space="0" w:color="auto"/>
              <w:bottom w:val="nil"/>
              <w:right w:val="single" w:sz="4" w:space="0" w:color="auto"/>
            </w:tcBorders>
            <w:tcMar>
              <w:top w:w="0" w:type="dxa"/>
              <w:left w:w="2" w:type="dxa"/>
              <w:bottom w:w="0" w:type="dxa"/>
              <w:right w:w="2" w:type="dxa"/>
            </w:tcMar>
            <w:hideMark/>
          </w:tcPr>
          <w:p w14:paraId="0BAEE086" w14:textId="77777777" w:rsidR="005D07A6" w:rsidRDefault="00F42774">
            <w:pPr>
              <w:pStyle w:val="TA1"/>
              <w:jc w:val="right"/>
              <w:rPr>
                <w:rFonts w:eastAsiaTheme="minorEastAsia"/>
              </w:rPr>
            </w:pPr>
            <w:r>
              <w:t>5 000</w:t>
            </w:r>
          </w:p>
        </w:tc>
        <w:tc>
          <w:tcPr>
            <w:tcW w:w="570" w:type="dxa"/>
            <w:tcBorders>
              <w:top w:val="nil"/>
              <w:left w:val="single" w:sz="4" w:space="0" w:color="auto"/>
              <w:bottom w:val="nil"/>
              <w:right w:val="single" w:sz="4" w:space="0" w:color="auto"/>
            </w:tcBorders>
            <w:tcMar>
              <w:top w:w="0" w:type="dxa"/>
              <w:left w:w="2" w:type="dxa"/>
              <w:bottom w:w="0" w:type="dxa"/>
              <w:right w:w="2" w:type="dxa"/>
            </w:tcMar>
            <w:hideMark/>
          </w:tcPr>
          <w:p w14:paraId="4EE826A8" w14:textId="77777777" w:rsidR="005D07A6" w:rsidRDefault="00F42774">
            <w:pPr>
              <w:pStyle w:val="TA1"/>
              <w:jc w:val="right"/>
              <w:rPr>
                <w:rFonts w:eastAsiaTheme="minorEastAsia"/>
              </w:rPr>
            </w:pPr>
            <w:r>
              <w:t>10 000</w:t>
            </w:r>
          </w:p>
        </w:tc>
        <w:tc>
          <w:tcPr>
            <w:tcW w:w="675" w:type="dxa"/>
            <w:tcBorders>
              <w:top w:val="nil"/>
              <w:left w:val="single" w:sz="4" w:space="0" w:color="auto"/>
              <w:bottom w:val="nil"/>
              <w:right w:val="single" w:sz="4" w:space="0" w:color="auto"/>
            </w:tcBorders>
            <w:tcMar>
              <w:top w:w="0" w:type="dxa"/>
              <w:left w:w="2" w:type="dxa"/>
              <w:bottom w:w="0" w:type="dxa"/>
              <w:right w:w="2" w:type="dxa"/>
            </w:tcMar>
            <w:hideMark/>
          </w:tcPr>
          <w:p w14:paraId="3B1FDACA" w14:textId="77777777" w:rsidR="005D07A6" w:rsidRDefault="00F42774">
            <w:pPr>
              <w:pStyle w:val="TA1"/>
              <w:jc w:val="right"/>
              <w:rPr>
                <w:rFonts w:eastAsiaTheme="minorEastAsia"/>
              </w:rPr>
            </w:pPr>
            <w:r>
              <w:t>20 000</w:t>
            </w:r>
          </w:p>
        </w:tc>
        <w:tc>
          <w:tcPr>
            <w:tcW w:w="1140" w:type="dxa"/>
            <w:tcBorders>
              <w:top w:val="nil"/>
              <w:left w:val="single" w:sz="4" w:space="0" w:color="auto"/>
              <w:bottom w:val="nil"/>
              <w:right w:val="single" w:sz="4" w:space="0" w:color="auto"/>
            </w:tcBorders>
            <w:tcMar>
              <w:top w:w="0" w:type="dxa"/>
              <w:left w:w="2" w:type="dxa"/>
              <w:bottom w:w="0" w:type="dxa"/>
              <w:right w:w="2" w:type="dxa"/>
            </w:tcMar>
            <w:hideMark/>
          </w:tcPr>
          <w:p w14:paraId="50195677" w14:textId="77777777" w:rsidR="005D07A6" w:rsidRDefault="00F42774">
            <w:pPr>
              <w:pStyle w:val="TA1"/>
              <w:jc w:val="right"/>
              <w:rPr>
                <w:rFonts w:eastAsiaTheme="minorEastAsia"/>
              </w:rPr>
            </w:pPr>
            <w:r>
              <w:t>10 000</w:t>
            </w:r>
          </w:p>
        </w:tc>
      </w:tr>
      <w:tr w:rsidR="005D07A6" w14:paraId="35167EF1" w14:textId="77777777">
        <w:tc>
          <w:tcPr>
            <w:tcW w:w="150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8745BF9" w14:textId="77777777" w:rsidR="005D07A6" w:rsidRDefault="00F42774">
            <w:pPr>
              <w:pStyle w:val="TA1"/>
              <w:rPr>
                <w:rFonts w:eastAsiaTheme="minorEastAsia"/>
              </w:rPr>
            </w:pPr>
            <w:r>
              <w:t>Répartition secondaire C2</w:t>
            </w:r>
          </w:p>
        </w:tc>
        <w:tc>
          <w:tcPr>
            <w:tcW w:w="54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2F947FC" w14:textId="77777777" w:rsidR="005D07A6" w:rsidRDefault="00F42774">
            <w:pPr>
              <w:pStyle w:val="TA1"/>
              <w:jc w:val="right"/>
              <w:rPr>
                <w:rFonts w:eastAsiaTheme="minorEastAsia"/>
              </w:rPr>
            </w:pPr>
            <w:r>
              <w:t>17 000</w:t>
            </w:r>
          </w:p>
        </w:tc>
        <w:tc>
          <w:tcPr>
            <w:tcW w:w="54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04B50F0" w14:textId="77777777" w:rsidR="005D07A6" w:rsidRDefault="00F42774">
            <w:pPr>
              <w:pStyle w:val="TA1"/>
              <w:jc w:val="right"/>
              <w:rPr>
                <w:rFonts w:eastAsiaTheme="minorEastAsia"/>
              </w:rPr>
            </w:pPr>
            <w:r>
              <w:t>– 85 000</w:t>
            </w:r>
          </w:p>
        </w:tc>
        <w:tc>
          <w:tcPr>
            <w:tcW w:w="61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46CB81F" w14:textId="77777777" w:rsidR="005D07A6" w:rsidRDefault="00F42774">
            <w:pPr>
              <w:pStyle w:val="TA1"/>
              <w:jc w:val="right"/>
              <w:rPr>
                <w:rFonts w:eastAsiaTheme="minorEastAsia"/>
              </w:rPr>
            </w:pPr>
            <w:r>
              <w:t>8 500</w:t>
            </w:r>
          </w:p>
        </w:tc>
        <w:tc>
          <w:tcPr>
            <w:tcW w:w="57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9E021D3" w14:textId="77777777" w:rsidR="005D07A6" w:rsidRDefault="00F42774">
            <w:pPr>
              <w:pStyle w:val="TA1"/>
              <w:jc w:val="right"/>
              <w:rPr>
                <w:rFonts w:eastAsiaTheme="minorEastAsia"/>
              </w:rPr>
            </w:pPr>
            <w:r>
              <w:t>25 500</w:t>
            </w:r>
          </w:p>
        </w:tc>
        <w:tc>
          <w:tcPr>
            <w:tcW w:w="6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67E8E12" w14:textId="77777777" w:rsidR="005D07A6" w:rsidRDefault="00F42774">
            <w:pPr>
              <w:pStyle w:val="TA1"/>
              <w:jc w:val="right"/>
              <w:rPr>
                <w:rFonts w:eastAsiaTheme="minorEastAsia"/>
              </w:rPr>
            </w:pPr>
            <w:r>
              <w:t>25 500</w:t>
            </w:r>
          </w:p>
        </w:tc>
        <w:tc>
          <w:tcPr>
            <w:tcW w:w="114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01D0A07" w14:textId="77777777" w:rsidR="005D07A6" w:rsidRDefault="00F42774">
            <w:pPr>
              <w:pStyle w:val="TA1"/>
              <w:jc w:val="right"/>
              <w:rPr>
                <w:rFonts w:eastAsiaTheme="minorEastAsia"/>
              </w:rPr>
            </w:pPr>
            <w:r>
              <w:t>8 500</w:t>
            </w:r>
          </w:p>
        </w:tc>
      </w:tr>
      <w:tr w:rsidR="005D07A6" w14:paraId="1EA22B09" w14:textId="77777777">
        <w:tc>
          <w:tcPr>
            <w:tcW w:w="15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B10B992" w14:textId="77777777" w:rsidR="005D07A6" w:rsidRDefault="00F42774">
            <w:pPr>
              <w:pStyle w:val="TA1"/>
              <w:rPr>
                <w:rFonts w:eastAsiaTheme="minorEastAsia"/>
              </w:rPr>
            </w:pPr>
            <w:r>
              <w:t>Total après répartition secondaire</w:t>
            </w:r>
          </w:p>
        </w:tc>
        <w:tc>
          <w:tcPr>
            <w:tcW w:w="5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BABDD99" w14:textId="77777777" w:rsidR="005D07A6" w:rsidRDefault="00F42774">
            <w:pPr>
              <w:pStyle w:val="TA1"/>
              <w:jc w:val="right"/>
              <w:rPr>
                <w:rFonts w:eastAsiaTheme="minorEastAsia"/>
              </w:rPr>
            </w:pPr>
            <w:r>
              <w:t>0</w:t>
            </w:r>
          </w:p>
        </w:tc>
        <w:tc>
          <w:tcPr>
            <w:tcW w:w="5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B60FBF7" w14:textId="77777777" w:rsidR="005D07A6" w:rsidRDefault="00F42774">
            <w:pPr>
              <w:pStyle w:val="TA1"/>
              <w:jc w:val="right"/>
              <w:rPr>
                <w:rFonts w:eastAsiaTheme="minorEastAsia"/>
              </w:rPr>
            </w:pPr>
            <w:r>
              <w:t>0</w:t>
            </w:r>
          </w:p>
        </w:tc>
        <w:tc>
          <w:tcPr>
            <w:tcW w:w="6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2AF1437" w14:textId="77777777" w:rsidR="005D07A6" w:rsidRDefault="00F42774">
            <w:pPr>
              <w:pStyle w:val="TA1"/>
              <w:jc w:val="right"/>
              <w:rPr>
                <w:rFonts w:eastAsiaTheme="minorEastAsia"/>
              </w:rPr>
            </w:pPr>
            <w:r>
              <w:t>88 500</w:t>
            </w:r>
          </w:p>
        </w:tc>
        <w:tc>
          <w:tcPr>
            <w:tcW w:w="5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1A74186" w14:textId="77777777" w:rsidR="005D07A6" w:rsidRDefault="00F42774">
            <w:pPr>
              <w:pStyle w:val="TA1"/>
              <w:jc w:val="right"/>
              <w:rPr>
                <w:rFonts w:eastAsiaTheme="minorEastAsia"/>
              </w:rPr>
            </w:pPr>
            <w:r>
              <w:t>122 500</w:t>
            </w:r>
          </w:p>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889665C" w14:textId="77777777" w:rsidR="005D07A6" w:rsidRDefault="00F42774">
            <w:pPr>
              <w:pStyle w:val="TA1"/>
              <w:jc w:val="right"/>
              <w:rPr>
                <w:rFonts w:eastAsiaTheme="minorEastAsia"/>
              </w:rPr>
            </w:pPr>
            <w:r>
              <w:t>188 500</w:t>
            </w:r>
          </w:p>
        </w:tc>
        <w:tc>
          <w:tcPr>
            <w:tcW w:w="11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A287F23" w14:textId="77777777" w:rsidR="005D07A6" w:rsidRDefault="00F42774">
            <w:pPr>
              <w:pStyle w:val="TA1"/>
              <w:jc w:val="right"/>
              <w:rPr>
                <w:rFonts w:eastAsiaTheme="minorEastAsia"/>
              </w:rPr>
            </w:pPr>
            <w:r>
              <w:t>62 500</w:t>
            </w:r>
          </w:p>
        </w:tc>
      </w:tr>
      <w:tr w:rsidR="005D07A6" w14:paraId="22DF3BC3" w14:textId="77777777">
        <w:tc>
          <w:tcPr>
            <w:tcW w:w="15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E59B4C6" w14:textId="77777777" w:rsidR="005D07A6" w:rsidRDefault="00F42774">
            <w:pPr>
              <w:pStyle w:val="TA1"/>
              <w:rPr>
                <w:rFonts w:eastAsiaTheme="minorEastAsia"/>
              </w:rPr>
            </w:pPr>
            <w:r>
              <w:t>Unité d’œuvre</w:t>
            </w:r>
          </w:p>
        </w:tc>
        <w:tc>
          <w:tcPr>
            <w:tcW w:w="5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278F079" w14:textId="77777777" w:rsidR="005D07A6" w:rsidRDefault="005D07A6"/>
        </w:tc>
        <w:tc>
          <w:tcPr>
            <w:tcW w:w="5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4AE40B3" w14:textId="77777777" w:rsidR="005D07A6" w:rsidRDefault="005D07A6"/>
        </w:tc>
        <w:tc>
          <w:tcPr>
            <w:tcW w:w="6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BF4FEB3" w14:textId="77777777" w:rsidR="005D07A6" w:rsidRDefault="00F42774">
            <w:pPr>
              <w:pStyle w:val="TA1"/>
              <w:jc w:val="center"/>
              <w:rPr>
                <w:rFonts w:eastAsiaTheme="minorEastAsia"/>
              </w:rPr>
            </w:pPr>
            <w:r>
              <w:t>m</w:t>
            </w:r>
            <w:r>
              <w:rPr>
                <w:vertAlign w:val="superscript"/>
              </w:rPr>
              <w:t>2</w:t>
            </w:r>
            <w:r>
              <w:t xml:space="preserve"> acheté</w:t>
            </w:r>
          </w:p>
        </w:tc>
        <w:tc>
          <w:tcPr>
            <w:tcW w:w="5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0DBF38A" w14:textId="77777777" w:rsidR="005D07A6" w:rsidRDefault="00F42774">
            <w:pPr>
              <w:pStyle w:val="TA1"/>
              <w:jc w:val="center"/>
              <w:rPr>
                <w:rFonts w:eastAsiaTheme="minorEastAsia"/>
              </w:rPr>
            </w:pPr>
            <w:r>
              <w:t>heures MOD</w:t>
            </w:r>
          </w:p>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11ADF28" w14:textId="77777777" w:rsidR="005D07A6" w:rsidRDefault="00F42774">
            <w:pPr>
              <w:pStyle w:val="TA1"/>
              <w:jc w:val="center"/>
              <w:rPr>
                <w:rFonts w:eastAsiaTheme="minorEastAsia"/>
              </w:rPr>
            </w:pPr>
            <w:r>
              <w:t>heures</w:t>
            </w:r>
            <w:r>
              <w:br/>
              <w:t>-machine</w:t>
            </w:r>
          </w:p>
        </w:tc>
        <w:tc>
          <w:tcPr>
            <w:tcW w:w="11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EEFDC33" w14:textId="77777777" w:rsidR="005D07A6" w:rsidRDefault="00F42774">
            <w:pPr>
              <w:pStyle w:val="TA1"/>
              <w:jc w:val="center"/>
              <w:rPr>
                <w:rFonts w:eastAsiaTheme="minorEastAsia"/>
              </w:rPr>
            </w:pPr>
            <w:r>
              <w:t>Coût de production des produits vendus</w:t>
            </w:r>
          </w:p>
        </w:tc>
      </w:tr>
      <w:tr w:rsidR="005D07A6" w14:paraId="168831E7" w14:textId="77777777">
        <w:tc>
          <w:tcPr>
            <w:tcW w:w="15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9047A42" w14:textId="77777777" w:rsidR="005D07A6" w:rsidRDefault="00F42774">
            <w:pPr>
              <w:pStyle w:val="TA1"/>
              <w:rPr>
                <w:rFonts w:eastAsiaTheme="minorEastAsia"/>
              </w:rPr>
            </w:pPr>
            <w:r>
              <w:t>Nombre d’unités d’œuvre</w:t>
            </w:r>
          </w:p>
        </w:tc>
        <w:tc>
          <w:tcPr>
            <w:tcW w:w="5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BD32EAF" w14:textId="77777777" w:rsidR="005D07A6" w:rsidRDefault="005D07A6"/>
        </w:tc>
        <w:tc>
          <w:tcPr>
            <w:tcW w:w="5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FB2E151" w14:textId="77777777" w:rsidR="005D07A6" w:rsidRDefault="005D07A6"/>
        </w:tc>
        <w:tc>
          <w:tcPr>
            <w:tcW w:w="6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C7AB013" w14:textId="77777777" w:rsidR="005D07A6" w:rsidRDefault="00F42774">
            <w:pPr>
              <w:pStyle w:val="TA1"/>
              <w:jc w:val="right"/>
              <w:rPr>
                <w:rFonts w:eastAsiaTheme="minorEastAsia"/>
              </w:rPr>
            </w:pPr>
            <w:r>
              <w:t>4 200</w:t>
            </w:r>
          </w:p>
        </w:tc>
        <w:tc>
          <w:tcPr>
            <w:tcW w:w="5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9C1A5F6" w14:textId="77777777" w:rsidR="005D07A6" w:rsidRDefault="00F42774">
            <w:pPr>
              <w:pStyle w:val="TA1"/>
              <w:jc w:val="right"/>
              <w:rPr>
                <w:rFonts w:eastAsiaTheme="minorEastAsia"/>
              </w:rPr>
            </w:pPr>
            <w:r>
              <w:t>540</w:t>
            </w:r>
          </w:p>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508BF23" w14:textId="77777777" w:rsidR="005D07A6" w:rsidRDefault="00F42774">
            <w:pPr>
              <w:pStyle w:val="TA1"/>
              <w:jc w:val="right"/>
              <w:rPr>
                <w:rFonts w:eastAsiaTheme="minorEastAsia"/>
              </w:rPr>
            </w:pPr>
            <w:r>
              <w:t>620</w:t>
            </w:r>
          </w:p>
        </w:tc>
        <w:tc>
          <w:tcPr>
            <w:tcW w:w="11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B99636E" w14:textId="77777777" w:rsidR="005D07A6" w:rsidRDefault="00F42774">
            <w:pPr>
              <w:pStyle w:val="TA1"/>
              <w:jc w:val="right"/>
              <w:rPr>
                <w:rFonts w:eastAsiaTheme="minorEastAsia"/>
              </w:rPr>
            </w:pPr>
            <w:r>
              <w:rPr>
                <w:rStyle w:val="TaAppelNote"/>
              </w:rPr>
              <w:t>(1)</w:t>
            </w:r>
            <w:r>
              <w:t>429 626,52</w:t>
            </w:r>
          </w:p>
        </w:tc>
      </w:tr>
      <w:tr w:rsidR="005D07A6" w14:paraId="69710E36" w14:textId="77777777">
        <w:tc>
          <w:tcPr>
            <w:tcW w:w="15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1EF3494" w14:textId="77777777" w:rsidR="005D07A6" w:rsidRDefault="00F42774">
            <w:pPr>
              <w:pStyle w:val="TA1"/>
              <w:rPr>
                <w:rFonts w:eastAsiaTheme="minorEastAsia"/>
              </w:rPr>
            </w:pPr>
            <w:r>
              <w:t>Coût de l’unité d’œuvre</w:t>
            </w:r>
          </w:p>
        </w:tc>
        <w:tc>
          <w:tcPr>
            <w:tcW w:w="5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0C0B415" w14:textId="77777777" w:rsidR="005D07A6" w:rsidRDefault="005D07A6"/>
        </w:tc>
        <w:tc>
          <w:tcPr>
            <w:tcW w:w="5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BC96AD1" w14:textId="77777777" w:rsidR="005D07A6" w:rsidRDefault="005D07A6"/>
        </w:tc>
        <w:tc>
          <w:tcPr>
            <w:tcW w:w="6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9138E98" w14:textId="77777777" w:rsidR="005D07A6" w:rsidRDefault="00F42774">
            <w:pPr>
              <w:pStyle w:val="TA1"/>
              <w:jc w:val="right"/>
              <w:rPr>
                <w:rFonts w:eastAsiaTheme="minorEastAsia"/>
              </w:rPr>
            </w:pPr>
            <w:r>
              <w:t>21,0714</w:t>
            </w:r>
          </w:p>
        </w:tc>
        <w:tc>
          <w:tcPr>
            <w:tcW w:w="5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E523FAE" w14:textId="77777777" w:rsidR="005D07A6" w:rsidRDefault="00F42774">
            <w:pPr>
              <w:pStyle w:val="TA1"/>
              <w:jc w:val="right"/>
              <w:rPr>
                <w:rFonts w:eastAsiaTheme="minorEastAsia"/>
              </w:rPr>
            </w:pPr>
            <w:r>
              <w:t>226,8519</w:t>
            </w:r>
          </w:p>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4619D41" w14:textId="77777777" w:rsidR="005D07A6" w:rsidRDefault="00F42774">
            <w:pPr>
              <w:pStyle w:val="TA1"/>
              <w:jc w:val="right"/>
              <w:rPr>
                <w:rFonts w:eastAsiaTheme="minorEastAsia"/>
              </w:rPr>
            </w:pPr>
            <w:r>
              <w:t>304,0323</w:t>
            </w:r>
          </w:p>
        </w:tc>
        <w:tc>
          <w:tcPr>
            <w:tcW w:w="11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FDA6C14" w14:textId="77777777" w:rsidR="005D07A6" w:rsidRDefault="00F42774">
            <w:pPr>
              <w:pStyle w:val="TA1"/>
              <w:jc w:val="right"/>
              <w:rPr>
                <w:rFonts w:eastAsiaTheme="minorEastAsia"/>
              </w:rPr>
            </w:pPr>
            <w:r>
              <w:t>14,5475 %</w:t>
            </w:r>
          </w:p>
        </w:tc>
      </w:tr>
    </w:tbl>
    <w:p w14:paraId="313B0A61" w14:textId="77777777" w:rsidR="005D07A6" w:rsidRDefault="00F42774">
      <w:pPr>
        <w:pStyle w:val="TA3"/>
        <w:rPr>
          <w:rFonts w:eastAsiaTheme="minorEastAsia"/>
        </w:rPr>
      </w:pPr>
      <w:r>
        <w:t>1. Le montant du coût de production n’est connu qu’après avoir calculé le coût de production (étape c).</w:t>
      </w:r>
    </w:p>
    <w:p w14:paraId="410A0022" w14:textId="77777777" w:rsidR="005D07A6" w:rsidRDefault="00F42774">
      <w:pPr>
        <w:pStyle w:val="CTEspDessous"/>
      </w:pPr>
      <w:r>
        <w:t xml:space="preserve">C6 : </w:t>
      </w:r>
      <w:r>
        <w:rPr>
          <w:i/>
          <w:iCs/>
        </w:rPr>
        <w:t>cf. </w:t>
      </w:r>
      <w:r>
        <w:t>sorties des stocks de produits. Le résultat est un « taux de frais » (le dénominateur n’étant pas une unité physique mais une unité monétaire).</w:t>
      </w:r>
    </w:p>
    <w:p w14:paraId="37B3EA79" w14:textId="77777777" w:rsidR="005D07A6" w:rsidRDefault="00F42774">
      <w:pPr>
        <w:pStyle w:val="TNiv1"/>
      </w:pPr>
      <w:r>
        <w:rPr>
          <w:rStyle w:val="RefQuestion"/>
        </w:rPr>
        <w:t>2</w:t>
      </w:r>
      <w:r>
        <w:t>. Calculs successifs pour déterminer le résultat analytique</w:t>
      </w:r>
    </w:p>
    <w:p w14:paraId="0C3700CC" w14:textId="77777777" w:rsidR="005D07A6" w:rsidRDefault="00F42774">
      <w:pPr>
        <w:pStyle w:val="TNiv2"/>
      </w:pPr>
      <w:r>
        <w:t>a) Calcul du coût d’achat</w:t>
      </w:r>
    </w:p>
    <w:tbl>
      <w:tblPr>
        <w:tblW w:w="6458" w:type="dxa"/>
        <w:tblInd w:w="1701" w:type="dxa"/>
        <w:tblLook w:val="04A0" w:firstRow="1" w:lastRow="0" w:firstColumn="1" w:lastColumn="0" w:noHBand="0" w:noVBand="1"/>
      </w:tblPr>
      <w:tblGrid>
        <w:gridCol w:w="3218"/>
        <w:gridCol w:w="1080"/>
        <w:gridCol w:w="1080"/>
        <w:gridCol w:w="1080"/>
      </w:tblGrid>
      <w:tr w:rsidR="005D07A6" w14:paraId="2B492F20" w14:textId="77777777">
        <w:tc>
          <w:tcPr>
            <w:tcW w:w="2415" w:type="dxa"/>
            <w:tcBorders>
              <w:top w:val="nil"/>
              <w:left w:val="nil"/>
              <w:bottom w:val="single" w:sz="4" w:space="0" w:color="auto"/>
              <w:right w:val="single" w:sz="4" w:space="0" w:color="auto"/>
            </w:tcBorders>
            <w:tcMar>
              <w:top w:w="0" w:type="dxa"/>
              <w:left w:w="2" w:type="dxa"/>
              <w:bottom w:w="0" w:type="dxa"/>
              <w:right w:w="2" w:type="dxa"/>
            </w:tcMar>
            <w:hideMark/>
          </w:tcPr>
          <w:p w14:paraId="3526479C" w14:textId="77777777" w:rsidR="005D07A6" w:rsidRDefault="005D07A6"/>
        </w:tc>
        <w:tc>
          <w:tcPr>
            <w:tcW w:w="81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895F9AD" w14:textId="77777777" w:rsidR="005D07A6" w:rsidRDefault="00F42774">
            <w:pPr>
              <w:pStyle w:val="TA1"/>
              <w:jc w:val="center"/>
              <w:rPr>
                <w:rFonts w:eastAsiaTheme="minorEastAsia"/>
              </w:rPr>
            </w:pPr>
            <w:r>
              <w:rPr>
                <w:b/>
                <w:bCs/>
              </w:rPr>
              <w:t>Quantité</w:t>
            </w:r>
          </w:p>
        </w:tc>
        <w:tc>
          <w:tcPr>
            <w:tcW w:w="81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C9818B2" w14:textId="77777777" w:rsidR="005D07A6" w:rsidRDefault="00F42774">
            <w:pPr>
              <w:pStyle w:val="TA1"/>
              <w:jc w:val="center"/>
              <w:rPr>
                <w:rFonts w:eastAsiaTheme="minorEastAsia"/>
              </w:rPr>
            </w:pPr>
            <w:r>
              <w:rPr>
                <w:b/>
                <w:bCs/>
              </w:rPr>
              <w:t>Coût unitaire</w:t>
            </w:r>
          </w:p>
        </w:tc>
        <w:tc>
          <w:tcPr>
            <w:tcW w:w="81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1F83D02" w14:textId="77777777" w:rsidR="005D07A6" w:rsidRDefault="00F42774">
            <w:pPr>
              <w:pStyle w:val="TA1"/>
              <w:jc w:val="center"/>
              <w:rPr>
                <w:rFonts w:eastAsiaTheme="minorEastAsia"/>
              </w:rPr>
            </w:pPr>
            <w:r>
              <w:rPr>
                <w:b/>
                <w:bCs/>
              </w:rPr>
              <w:t>Montant</w:t>
            </w:r>
          </w:p>
        </w:tc>
      </w:tr>
      <w:tr w:rsidR="005D07A6" w14:paraId="2BC41E01" w14:textId="77777777">
        <w:tc>
          <w:tcPr>
            <w:tcW w:w="241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1A19759" w14:textId="77777777" w:rsidR="005D07A6" w:rsidRDefault="00F42774">
            <w:pPr>
              <w:pStyle w:val="TA1"/>
              <w:rPr>
                <w:rFonts w:eastAsiaTheme="minorEastAsia"/>
              </w:rPr>
            </w:pPr>
            <w:r>
              <w:t>Prix d’achat des MP</w:t>
            </w:r>
          </w:p>
        </w:tc>
        <w:tc>
          <w:tcPr>
            <w:tcW w:w="81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F380F12" w14:textId="77777777" w:rsidR="005D07A6" w:rsidRDefault="00F42774">
            <w:pPr>
              <w:pStyle w:val="TA1"/>
              <w:jc w:val="right"/>
              <w:rPr>
                <w:rFonts w:eastAsiaTheme="minorEastAsia"/>
              </w:rPr>
            </w:pPr>
            <w:r>
              <w:t>4 200</w:t>
            </w:r>
          </w:p>
        </w:tc>
        <w:tc>
          <w:tcPr>
            <w:tcW w:w="81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4A6E1EE" w14:textId="77777777" w:rsidR="005D07A6" w:rsidRDefault="005D07A6"/>
        </w:tc>
        <w:tc>
          <w:tcPr>
            <w:tcW w:w="81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13650BC" w14:textId="77777777" w:rsidR="005D07A6" w:rsidRDefault="00F42774">
            <w:pPr>
              <w:pStyle w:val="TA1"/>
              <w:jc w:val="right"/>
              <w:rPr>
                <w:rFonts w:eastAsiaTheme="minorEastAsia"/>
              </w:rPr>
            </w:pPr>
            <w:r>
              <w:t>7 232</w:t>
            </w:r>
          </w:p>
        </w:tc>
      </w:tr>
      <w:tr w:rsidR="005D07A6" w14:paraId="02E19896" w14:textId="77777777">
        <w:tc>
          <w:tcPr>
            <w:tcW w:w="241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DBFE0CF" w14:textId="77777777" w:rsidR="005D07A6" w:rsidRDefault="00F42774">
            <w:pPr>
              <w:pStyle w:val="TA1"/>
              <w:rPr>
                <w:rFonts w:eastAsiaTheme="minorEastAsia"/>
              </w:rPr>
            </w:pPr>
            <w:r>
              <w:lastRenderedPageBreak/>
              <w:t>Centre approvisionnement</w:t>
            </w:r>
          </w:p>
        </w:tc>
        <w:tc>
          <w:tcPr>
            <w:tcW w:w="81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52033DF" w14:textId="77777777" w:rsidR="005D07A6" w:rsidRDefault="00F42774">
            <w:pPr>
              <w:pStyle w:val="TA1"/>
              <w:jc w:val="right"/>
              <w:rPr>
                <w:rFonts w:eastAsiaTheme="minorEastAsia"/>
              </w:rPr>
            </w:pPr>
            <w:r>
              <w:t>4 200</w:t>
            </w:r>
          </w:p>
        </w:tc>
        <w:tc>
          <w:tcPr>
            <w:tcW w:w="81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F72E794" w14:textId="77777777" w:rsidR="005D07A6" w:rsidRDefault="005D07A6"/>
        </w:tc>
        <w:tc>
          <w:tcPr>
            <w:tcW w:w="81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62ACC05" w14:textId="77777777" w:rsidR="005D07A6" w:rsidRDefault="00F42774">
            <w:pPr>
              <w:pStyle w:val="TA1"/>
              <w:jc w:val="right"/>
              <w:rPr>
                <w:rFonts w:eastAsiaTheme="minorEastAsia"/>
              </w:rPr>
            </w:pPr>
            <w:r>
              <w:t>88 500</w:t>
            </w:r>
          </w:p>
        </w:tc>
      </w:tr>
      <w:tr w:rsidR="005D07A6" w14:paraId="6D5C1645" w14:textId="77777777">
        <w:tc>
          <w:tcPr>
            <w:tcW w:w="24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3A771E2" w14:textId="77777777" w:rsidR="005D07A6" w:rsidRDefault="00F42774">
            <w:pPr>
              <w:pStyle w:val="TA1"/>
              <w:jc w:val="right"/>
              <w:rPr>
                <w:rFonts w:eastAsiaTheme="minorEastAsia"/>
              </w:rPr>
            </w:pPr>
            <w:r>
              <w:t>Coût d’achat</w:t>
            </w:r>
          </w:p>
        </w:tc>
        <w:tc>
          <w:tcPr>
            <w:tcW w:w="8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9C8B834" w14:textId="77777777" w:rsidR="005D07A6" w:rsidRDefault="00F42774">
            <w:pPr>
              <w:pStyle w:val="TA1"/>
              <w:jc w:val="right"/>
              <w:rPr>
                <w:rFonts w:eastAsiaTheme="minorEastAsia"/>
              </w:rPr>
            </w:pPr>
            <w:r>
              <w:t>4 200</w:t>
            </w:r>
          </w:p>
        </w:tc>
        <w:tc>
          <w:tcPr>
            <w:tcW w:w="8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44F9036" w14:textId="77777777" w:rsidR="005D07A6" w:rsidRDefault="005D07A6"/>
        </w:tc>
        <w:tc>
          <w:tcPr>
            <w:tcW w:w="8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B5C41FC" w14:textId="77777777" w:rsidR="005D07A6" w:rsidRDefault="00F42774">
            <w:pPr>
              <w:pStyle w:val="TA1"/>
              <w:jc w:val="right"/>
              <w:rPr>
                <w:rFonts w:eastAsiaTheme="minorEastAsia"/>
              </w:rPr>
            </w:pPr>
            <w:r>
              <w:t>95 732</w:t>
            </w:r>
          </w:p>
        </w:tc>
      </w:tr>
    </w:tbl>
    <w:p w14:paraId="00CF37FA" w14:textId="77777777" w:rsidR="005D07A6" w:rsidRDefault="00F42774">
      <w:pPr>
        <w:pStyle w:val="CTEspDessous"/>
        <w:rPr>
          <w:rFonts w:eastAsiaTheme="minorEastAsia"/>
        </w:rPr>
      </w:pPr>
      <w:r>
        <w:t>Comme il n’y a qu’une seule matière première achetée, les charges indirectes ne concernent que cette matière. L’unité d’œuvre n’est donc pas utile et il était possible d’imputer directement le montant des charges du centre approvisionnement à la matière unique.</w:t>
      </w:r>
    </w:p>
    <w:p w14:paraId="28A31C4E" w14:textId="77777777" w:rsidR="005D07A6" w:rsidRDefault="00F42774">
      <w:pPr>
        <w:pStyle w:val="TNiv2"/>
      </w:pPr>
      <w:r>
        <w:t>b) Mise en stock</w:t>
      </w:r>
    </w:p>
    <w:p w14:paraId="1481B5CE" w14:textId="77777777" w:rsidR="005D07A6" w:rsidRDefault="00F42774">
      <w:pPr>
        <w:pStyle w:val="CTEspDessous"/>
      </w:pPr>
      <w:r>
        <w:t>Attention aux différences d’inventaire.</w:t>
      </w:r>
    </w:p>
    <w:tbl>
      <w:tblPr>
        <w:tblW w:w="7439" w:type="dxa"/>
        <w:tblInd w:w="1701" w:type="dxa"/>
        <w:tblLook w:val="04A0" w:firstRow="1" w:lastRow="0" w:firstColumn="1" w:lastColumn="0" w:noHBand="0" w:noVBand="1"/>
      </w:tblPr>
      <w:tblGrid>
        <w:gridCol w:w="913"/>
        <w:gridCol w:w="838"/>
        <w:gridCol w:w="838"/>
        <w:gridCol w:w="1131"/>
        <w:gridCol w:w="912"/>
        <w:gridCol w:w="838"/>
        <w:gridCol w:w="838"/>
        <w:gridCol w:w="1131"/>
      </w:tblGrid>
      <w:tr w:rsidR="005D07A6" w14:paraId="64DADFA5" w14:textId="77777777">
        <w:tc>
          <w:tcPr>
            <w:tcW w:w="735" w:type="dxa"/>
            <w:gridSpan w:val="4"/>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F285A2B" w14:textId="77777777" w:rsidR="005D07A6" w:rsidRDefault="00F42774">
            <w:pPr>
              <w:pStyle w:val="TA1"/>
              <w:jc w:val="center"/>
              <w:rPr>
                <w:rFonts w:eastAsiaTheme="minorEastAsia"/>
              </w:rPr>
            </w:pPr>
            <w:r>
              <w:rPr>
                <w:b/>
                <w:bCs/>
              </w:rPr>
              <w:t>Débit</w:t>
            </w:r>
          </w:p>
        </w:tc>
        <w:tc>
          <w:tcPr>
            <w:tcW w:w="735" w:type="dxa"/>
            <w:gridSpan w:val="4"/>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A17F9E6" w14:textId="77777777" w:rsidR="005D07A6" w:rsidRDefault="00F42774">
            <w:pPr>
              <w:pStyle w:val="TA1"/>
              <w:jc w:val="center"/>
              <w:rPr>
                <w:rFonts w:eastAsiaTheme="minorEastAsia"/>
              </w:rPr>
            </w:pPr>
            <w:r>
              <w:rPr>
                <w:b/>
                <w:bCs/>
              </w:rPr>
              <w:t>Crédit</w:t>
            </w:r>
          </w:p>
        </w:tc>
      </w:tr>
      <w:tr w:rsidR="005D07A6" w14:paraId="562C5834" w14:textId="77777777">
        <w:tc>
          <w:tcPr>
            <w:tcW w:w="73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BC296C8" w14:textId="77777777" w:rsidR="005D07A6" w:rsidRDefault="005D07A6"/>
        </w:tc>
        <w:tc>
          <w:tcPr>
            <w:tcW w:w="67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31F4854" w14:textId="77777777" w:rsidR="005D07A6" w:rsidRDefault="00F42774">
            <w:pPr>
              <w:pStyle w:val="TA1"/>
              <w:jc w:val="center"/>
              <w:rPr>
                <w:rFonts w:eastAsiaTheme="minorEastAsia"/>
              </w:rPr>
            </w:pPr>
            <w:r>
              <w:rPr>
                <w:b/>
                <w:bCs/>
              </w:rPr>
              <w:t>Q</w:t>
            </w:r>
          </w:p>
        </w:tc>
        <w:tc>
          <w:tcPr>
            <w:tcW w:w="67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22697E7" w14:textId="77777777" w:rsidR="005D07A6" w:rsidRDefault="00F42774">
            <w:pPr>
              <w:pStyle w:val="TA1"/>
              <w:jc w:val="center"/>
              <w:rPr>
                <w:rFonts w:eastAsiaTheme="minorEastAsia"/>
              </w:rPr>
            </w:pPr>
            <w:r>
              <w:rPr>
                <w:b/>
                <w:bCs/>
              </w:rPr>
              <w:t>CU</w:t>
            </w:r>
          </w:p>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D9E6D82" w14:textId="77777777" w:rsidR="005D07A6" w:rsidRDefault="00F42774">
            <w:pPr>
              <w:pStyle w:val="TA1"/>
              <w:jc w:val="center"/>
              <w:rPr>
                <w:rFonts w:eastAsiaTheme="minorEastAsia"/>
              </w:rPr>
            </w:pPr>
            <w:r>
              <w:rPr>
                <w:b/>
                <w:bCs/>
              </w:rPr>
              <w:t>Montant</w:t>
            </w:r>
          </w:p>
        </w:tc>
        <w:tc>
          <w:tcPr>
            <w:tcW w:w="73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1DBDFFB" w14:textId="77777777" w:rsidR="005D07A6" w:rsidRDefault="005D07A6"/>
        </w:tc>
        <w:tc>
          <w:tcPr>
            <w:tcW w:w="67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B2C6C29" w14:textId="77777777" w:rsidR="005D07A6" w:rsidRDefault="00F42774">
            <w:pPr>
              <w:pStyle w:val="TA1"/>
              <w:jc w:val="center"/>
              <w:rPr>
                <w:rFonts w:eastAsiaTheme="minorEastAsia"/>
              </w:rPr>
            </w:pPr>
            <w:r>
              <w:rPr>
                <w:b/>
                <w:bCs/>
              </w:rPr>
              <w:t>Q</w:t>
            </w:r>
          </w:p>
        </w:tc>
        <w:tc>
          <w:tcPr>
            <w:tcW w:w="67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23E41C7" w14:textId="77777777" w:rsidR="005D07A6" w:rsidRDefault="00F42774">
            <w:pPr>
              <w:pStyle w:val="TA1"/>
              <w:jc w:val="center"/>
              <w:rPr>
                <w:rFonts w:eastAsiaTheme="minorEastAsia"/>
              </w:rPr>
            </w:pPr>
            <w:r>
              <w:rPr>
                <w:b/>
                <w:bCs/>
              </w:rPr>
              <w:t>CU</w:t>
            </w:r>
          </w:p>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96E43D0" w14:textId="77777777" w:rsidR="005D07A6" w:rsidRDefault="00F42774">
            <w:pPr>
              <w:pStyle w:val="TA1"/>
              <w:jc w:val="center"/>
              <w:rPr>
                <w:rFonts w:eastAsiaTheme="minorEastAsia"/>
              </w:rPr>
            </w:pPr>
            <w:r>
              <w:rPr>
                <w:b/>
                <w:bCs/>
              </w:rPr>
              <w:t>Montant</w:t>
            </w:r>
          </w:p>
        </w:tc>
      </w:tr>
      <w:tr w:rsidR="005D07A6" w14:paraId="7051A07F" w14:textId="77777777">
        <w:tc>
          <w:tcPr>
            <w:tcW w:w="73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E40B454" w14:textId="77777777" w:rsidR="005D07A6" w:rsidRDefault="00F42774">
            <w:pPr>
              <w:pStyle w:val="TA1"/>
              <w:rPr>
                <w:rFonts w:eastAsiaTheme="minorEastAsia"/>
              </w:rPr>
            </w:pPr>
            <w:r>
              <w:t>Stock initial</w:t>
            </w:r>
          </w:p>
        </w:tc>
        <w:tc>
          <w:tcPr>
            <w:tcW w:w="6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352FADF" w14:textId="77777777" w:rsidR="005D07A6" w:rsidRDefault="00F42774">
            <w:pPr>
              <w:pStyle w:val="TA1"/>
              <w:jc w:val="right"/>
              <w:rPr>
                <w:rFonts w:eastAsiaTheme="minorEastAsia"/>
              </w:rPr>
            </w:pPr>
            <w:r>
              <w:t>2 560</w:t>
            </w:r>
          </w:p>
        </w:tc>
        <w:tc>
          <w:tcPr>
            <w:tcW w:w="6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16EF654" w14:textId="77777777" w:rsidR="005D07A6" w:rsidRDefault="005D07A6"/>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8ECF2FF" w14:textId="77777777" w:rsidR="005D07A6" w:rsidRDefault="00F42774">
            <w:pPr>
              <w:pStyle w:val="TA1"/>
              <w:jc w:val="right"/>
              <w:rPr>
                <w:rFonts w:eastAsiaTheme="minorEastAsia"/>
              </w:rPr>
            </w:pPr>
            <w:r>
              <w:t>58 980,00</w:t>
            </w:r>
          </w:p>
        </w:tc>
        <w:tc>
          <w:tcPr>
            <w:tcW w:w="73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532EB7D" w14:textId="77777777" w:rsidR="005D07A6" w:rsidRDefault="00F42774">
            <w:pPr>
              <w:pStyle w:val="TA1"/>
              <w:rPr>
                <w:rFonts w:eastAsiaTheme="minorEastAsia"/>
              </w:rPr>
            </w:pPr>
            <w:r>
              <w:t>Sorties</w:t>
            </w:r>
          </w:p>
        </w:tc>
        <w:tc>
          <w:tcPr>
            <w:tcW w:w="6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D8105DB" w14:textId="77777777" w:rsidR="005D07A6" w:rsidRDefault="00F42774">
            <w:pPr>
              <w:pStyle w:val="TA1"/>
              <w:jc w:val="right"/>
              <w:rPr>
                <w:rFonts w:eastAsiaTheme="minorEastAsia"/>
              </w:rPr>
            </w:pPr>
            <w:r>
              <w:t>4 530</w:t>
            </w:r>
          </w:p>
        </w:tc>
        <w:tc>
          <w:tcPr>
            <w:tcW w:w="6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9CA8E87" w14:textId="77777777" w:rsidR="005D07A6" w:rsidRDefault="00F42774">
            <w:pPr>
              <w:pStyle w:val="TA1"/>
              <w:jc w:val="right"/>
              <w:rPr>
                <w:rFonts w:eastAsiaTheme="minorEastAsia"/>
              </w:rPr>
            </w:pPr>
            <w:r>
              <w:t>22,8864</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ACAC76F" w14:textId="77777777" w:rsidR="005D07A6" w:rsidRDefault="00F42774">
            <w:pPr>
              <w:pStyle w:val="TA1"/>
              <w:jc w:val="right"/>
              <w:rPr>
                <w:rFonts w:eastAsiaTheme="minorEastAsia"/>
              </w:rPr>
            </w:pPr>
            <w:r>
              <w:t>103 675,39</w:t>
            </w:r>
          </w:p>
        </w:tc>
      </w:tr>
      <w:tr w:rsidR="005D07A6" w14:paraId="2BB87876" w14:textId="77777777">
        <w:tc>
          <w:tcPr>
            <w:tcW w:w="735" w:type="dxa"/>
            <w:tcBorders>
              <w:top w:val="nil"/>
              <w:left w:val="single" w:sz="4" w:space="0" w:color="auto"/>
              <w:bottom w:val="nil"/>
              <w:right w:val="single" w:sz="4" w:space="0" w:color="auto"/>
            </w:tcBorders>
            <w:tcMar>
              <w:top w:w="0" w:type="dxa"/>
              <w:left w:w="2" w:type="dxa"/>
              <w:bottom w:w="0" w:type="dxa"/>
              <w:right w:w="2" w:type="dxa"/>
            </w:tcMar>
            <w:hideMark/>
          </w:tcPr>
          <w:p w14:paraId="06872AAA" w14:textId="77777777" w:rsidR="005D07A6" w:rsidRDefault="00F42774">
            <w:pPr>
              <w:pStyle w:val="TA1"/>
              <w:rPr>
                <w:rFonts w:eastAsiaTheme="minorEastAsia"/>
              </w:rPr>
            </w:pPr>
            <w:r>
              <w:t>Entrées</w:t>
            </w:r>
          </w:p>
        </w:tc>
        <w:tc>
          <w:tcPr>
            <w:tcW w:w="675" w:type="dxa"/>
            <w:tcBorders>
              <w:top w:val="nil"/>
              <w:left w:val="single" w:sz="4" w:space="0" w:color="auto"/>
              <w:bottom w:val="nil"/>
              <w:right w:val="single" w:sz="4" w:space="0" w:color="auto"/>
            </w:tcBorders>
            <w:tcMar>
              <w:top w:w="0" w:type="dxa"/>
              <w:left w:w="2" w:type="dxa"/>
              <w:bottom w:w="0" w:type="dxa"/>
              <w:right w:w="2" w:type="dxa"/>
            </w:tcMar>
            <w:hideMark/>
          </w:tcPr>
          <w:p w14:paraId="0A7C7F6C" w14:textId="77777777" w:rsidR="005D07A6" w:rsidRDefault="00F42774">
            <w:pPr>
              <w:pStyle w:val="TA1"/>
              <w:jc w:val="right"/>
              <w:rPr>
                <w:rFonts w:eastAsiaTheme="minorEastAsia"/>
              </w:rPr>
            </w:pPr>
            <w:r>
              <w:t>4 200</w:t>
            </w:r>
          </w:p>
        </w:tc>
        <w:tc>
          <w:tcPr>
            <w:tcW w:w="675" w:type="dxa"/>
            <w:tcBorders>
              <w:top w:val="nil"/>
              <w:left w:val="single" w:sz="4" w:space="0" w:color="auto"/>
              <w:bottom w:val="nil"/>
              <w:right w:val="single" w:sz="4" w:space="0" w:color="auto"/>
            </w:tcBorders>
            <w:tcMar>
              <w:top w:w="0" w:type="dxa"/>
              <w:left w:w="2" w:type="dxa"/>
              <w:bottom w:w="0" w:type="dxa"/>
              <w:right w:w="2" w:type="dxa"/>
            </w:tcMar>
            <w:hideMark/>
          </w:tcPr>
          <w:p w14:paraId="65310688" w14:textId="77777777" w:rsidR="005D07A6" w:rsidRDefault="005D07A6"/>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24D4875E" w14:textId="77777777" w:rsidR="005D07A6" w:rsidRDefault="00F42774">
            <w:pPr>
              <w:pStyle w:val="TA1"/>
              <w:jc w:val="right"/>
              <w:rPr>
                <w:rFonts w:eastAsiaTheme="minorEastAsia"/>
              </w:rPr>
            </w:pPr>
            <w:r>
              <w:t>95 732,00</w:t>
            </w:r>
          </w:p>
        </w:tc>
        <w:tc>
          <w:tcPr>
            <w:tcW w:w="735" w:type="dxa"/>
            <w:tcBorders>
              <w:top w:val="nil"/>
              <w:left w:val="single" w:sz="4" w:space="0" w:color="auto"/>
              <w:bottom w:val="nil"/>
              <w:right w:val="single" w:sz="4" w:space="0" w:color="auto"/>
            </w:tcBorders>
            <w:tcMar>
              <w:top w:w="0" w:type="dxa"/>
              <w:left w:w="2" w:type="dxa"/>
              <w:bottom w:w="0" w:type="dxa"/>
              <w:right w:w="2" w:type="dxa"/>
            </w:tcMar>
            <w:hideMark/>
          </w:tcPr>
          <w:p w14:paraId="0859F393" w14:textId="77777777" w:rsidR="005D07A6" w:rsidRDefault="00F42774">
            <w:pPr>
              <w:pStyle w:val="TA1"/>
              <w:rPr>
                <w:rFonts w:eastAsiaTheme="minorEastAsia"/>
              </w:rPr>
            </w:pPr>
            <w:r>
              <w:t>Stock final</w:t>
            </w:r>
          </w:p>
        </w:tc>
        <w:tc>
          <w:tcPr>
            <w:tcW w:w="675" w:type="dxa"/>
            <w:tcBorders>
              <w:top w:val="nil"/>
              <w:left w:val="single" w:sz="4" w:space="0" w:color="auto"/>
              <w:bottom w:val="nil"/>
              <w:right w:val="single" w:sz="4" w:space="0" w:color="auto"/>
            </w:tcBorders>
            <w:tcMar>
              <w:top w:w="0" w:type="dxa"/>
              <w:left w:w="2" w:type="dxa"/>
              <w:bottom w:w="0" w:type="dxa"/>
              <w:right w:w="2" w:type="dxa"/>
            </w:tcMar>
            <w:hideMark/>
          </w:tcPr>
          <w:p w14:paraId="7DE1FA62" w14:textId="77777777" w:rsidR="005D07A6" w:rsidRDefault="00F42774">
            <w:pPr>
              <w:pStyle w:val="TA1"/>
              <w:jc w:val="right"/>
              <w:rPr>
                <w:rFonts w:eastAsiaTheme="minorEastAsia"/>
              </w:rPr>
            </w:pPr>
            <w:r>
              <w:t>2 225</w:t>
            </w:r>
          </w:p>
        </w:tc>
        <w:tc>
          <w:tcPr>
            <w:tcW w:w="675" w:type="dxa"/>
            <w:tcBorders>
              <w:top w:val="nil"/>
              <w:left w:val="single" w:sz="4" w:space="0" w:color="auto"/>
              <w:bottom w:val="nil"/>
              <w:right w:val="single" w:sz="4" w:space="0" w:color="auto"/>
            </w:tcBorders>
            <w:tcMar>
              <w:top w:w="0" w:type="dxa"/>
              <w:left w:w="2" w:type="dxa"/>
              <w:bottom w:w="0" w:type="dxa"/>
              <w:right w:w="2" w:type="dxa"/>
            </w:tcMar>
            <w:hideMark/>
          </w:tcPr>
          <w:p w14:paraId="614F7357" w14:textId="77777777" w:rsidR="005D07A6" w:rsidRDefault="00F42774">
            <w:pPr>
              <w:pStyle w:val="TA1"/>
              <w:jc w:val="right"/>
              <w:rPr>
                <w:rFonts w:eastAsiaTheme="minorEastAsia"/>
              </w:rPr>
            </w:pPr>
            <w:r>
              <w:t>22,8864</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4008C69E" w14:textId="77777777" w:rsidR="005D07A6" w:rsidRDefault="00F42774">
            <w:pPr>
              <w:pStyle w:val="TA1"/>
              <w:jc w:val="right"/>
              <w:rPr>
                <w:rFonts w:eastAsiaTheme="minorEastAsia"/>
              </w:rPr>
            </w:pPr>
            <w:r>
              <w:t>50 922,24</w:t>
            </w:r>
          </w:p>
        </w:tc>
      </w:tr>
      <w:tr w:rsidR="005D07A6" w14:paraId="1F162F5F" w14:textId="77777777">
        <w:tc>
          <w:tcPr>
            <w:tcW w:w="73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EF21145" w14:textId="77777777" w:rsidR="005D07A6" w:rsidRDefault="005D07A6"/>
        </w:tc>
        <w:tc>
          <w:tcPr>
            <w:tcW w:w="6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78D6C12" w14:textId="77777777" w:rsidR="005D07A6" w:rsidRDefault="005D07A6"/>
        </w:tc>
        <w:tc>
          <w:tcPr>
            <w:tcW w:w="6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777A682" w14:textId="77777777" w:rsidR="005D07A6" w:rsidRDefault="005D07A6"/>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43BBD5E" w14:textId="77777777" w:rsidR="005D07A6" w:rsidRDefault="005D07A6"/>
        </w:tc>
        <w:tc>
          <w:tcPr>
            <w:tcW w:w="73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2DC8775" w14:textId="77777777" w:rsidR="005D07A6" w:rsidRDefault="00F42774">
            <w:pPr>
              <w:pStyle w:val="TA1"/>
              <w:rPr>
                <w:rFonts w:eastAsiaTheme="minorEastAsia"/>
              </w:rPr>
            </w:pPr>
            <w:r>
              <w:t>Mali</w:t>
            </w:r>
          </w:p>
        </w:tc>
        <w:tc>
          <w:tcPr>
            <w:tcW w:w="6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14551D9" w14:textId="77777777" w:rsidR="005D07A6" w:rsidRDefault="00F42774">
            <w:pPr>
              <w:pStyle w:val="TA1"/>
              <w:jc w:val="right"/>
              <w:rPr>
                <w:rFonts w:eastAsiaTheme="minorEastAsia"/>
              </w:rPr>
            </w:pPr>
            <w:r>
              <w:t>5</w:t>
            </w:r>
          </w:p>
        </w:tc>
        <w:tc>
          <w:tcPr>
            <w:tcW w:w="6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B61AA1A" w14:textId="77777777" w:rsidR="005D07A6" w:rsidRDefault="005D07A6"/>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CC79118" w14:textId="77777777" w:rsidR="005D07A6" w:rsidRDefault="00F42774">
            <w:pPr>
              <w:pStyle w:val="TA1"/>
              <w:jc w:val="right"/>
              <w:rPr>
                <w:rFonts w:eastAsiaTheme="minorEastAsia"/>
              </w:rPr>
            </w:pPr>
            <w:r>
              <w:t>114,37</w:t>
            </w:r>
          </w:p>
        </w:tc>
      </w:tr>
      <w:tr w:rsidR="005D07A6" w14:paraId="504955C8" w14:textId="77777777">
        <w:tc>
          <w:tcPr>
            <w:tcW w:w="735" w:type="dxa"/>
            <w:tcBorders>
              <w:top w:val="single" w:sz="4" w:space="0" w:color="auto"/>
              <w:left w:val="nil"/>
              <w:bottom w:val="nil"/>
              <w:right w:val="single" w:sz="4" w:space="0" w:color="auto"/>
            </w:tcBorders>
            <w:tcMar>
              <w:top w:w="0" w:type="dxa"/>
              <w:left w:w="2" w:type="dxa"/>
              <w:bottom w:w="0" w:type="dxa"/>
              <w:right w:w="2" w:type="dxa"/>
            </w:tcMar>
            <w:hideMark/>
          </w:tcPr>
          <w:p w14:paraId="31240756" w14:textId="77777777" w:rsidR="005D07A6" w:rsidRDefault="005D07A6"/>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E3A2E15" w14:textId="77777777" w:rsidR="005D07A6" w:rsidRDefault="00F42774">
            <w:pPr>
              <w:pStyle w:val="TA1"/>
              <w:jc w:val="right"/>
              <w:rPr>
                <w:rFonts w:eastAsiaTheme="minorEastAsia"/>
              </w:rPr>
            </w:pPr>
            <w:r>
              <w:t>6 760</w:t>
            </w:r>
          </w:p>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906AC2E" w14:textId="77777777" w:rsidR="005D07A6" w:rsidRDefault="00F42774">
            <w:pPr>
              <w:pStyle w:val="TA1"/>
              <w:jc w:val="right"/>
              <w:rPr>
                <w:rFonts w:eastAsiaTheme="minorEastAsia"/>
              </w:rPr>
            </w:pPr>
            <w:r>
              <w:t>22,8864</w:t>
            </w:r>
          </w:p>
        </w:tc>
        <w:tc>
          <w:tcPr>
            <w:tcW w:w="7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0081E4E" w14:textId="77777777" w:rsidR="005D07A6" w:rsidRDefault="00F42774">
            <w:pPr>
              <w:pStyle w:val="TA1"/>
              <w:jc w:val="right"/>
              <w:rPr>
                <w:rFonts w:eastAsiaTheme="minorEastAsia"/>
              </w:rPr>
            </w:pPr>
            <w:r>
              <w:t>154 712,00</w:t>
            </w:r>
          </w:p>
        </w:tc>
        <w:tc>
          <w:tcPr>
            <w:tcW w:w="7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27F55A6" w14:textId="77777777" w:rsidR="005D07A6" w:rsidRDefault="005D07A6"/>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A05ADCD" w14:textId="77777777" w:rsidR="005D07A6" w:rsidRDefault="00F42774">
            <w:pPr>
              <w:pStyle w:val="TA1"/>
              <w:jc w:val="right"/>
              <w:rPr>
                <w:rFonts w:eastAsiaTheme="minorEastAsia"/>
              </w:rPr>
            </w:pPr>
            <w:r>
              <w:t>6 760</w:t>
            </w:r>
          </w:p>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6E9798C" w14:textId="77777777" w:rsidR="005D07A6" w:rsidRDefault="005D07A6"/>
        </w:tc>
        <w:tc>
          <w:tcPr>
            <w:tcW w:w="7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5E8D53E" w14:textId="77777777" w:rsidR="005D07A6" w:rsidRDefault="00F42774">
            <w:pPr>
              <w:pStyle w:val="TA1"/>
              <w:jc w:val="right"/>
              <w:rPr>
                <w:rFonts w:eastAsiaTheme="minorEastAsia"/>
              </w:rPr>
            </w:pPr>
            <w:r>
              <w:t>154 712,00</w:t>
            </w:r>
          </w:p>
        </w:tc>
      </w:tr>
    </w:tbl>
    <w:p w14:paraId="286CC495" w14:textId="77777777" w:rsidR="005D07A6" w:rsidRDefault="00F42774">
      <w:pPr>
        <w:pStyle w:val="CTEspDessous"/>
        <w:rPr>
          <w:rFonts w:eastAsiaTheme="minorEastAsia"/>
        </w:rPr>
      </w:pPr>
      <w:r>
        <w:t>Les différences liées aux arrondis ont été intégrées au mali.</w:t>
      </w:r>
    </w:p>
    <w:p w14:paraId="6FBE4352" w14:textId="77777777" w:rsidR="005D07A6" w:rsidRDefault="00F42774">
      <w:pPr>
        <w:pStyle w:val="TNiv2"/>
      </w:pPr>
      <w:r>
        <w:t>c) Calcul des coûts de production des produits finis</w:t>
      </w:r>
    </w:p>
    <w:tbl>
      <w:tblPr>
        <w:tblW w:w="7422" w:type="dxa"/>
        <w:tblInd w:w="1701" w:type="dxa"/>
        <w:tblLook w:val="04A0" w:firstRow="1" w:lastRow="0" w:firstColumn="1" w:lastColumn="0" w:noHBand="0" w:noVBand="1"/>
      </w:tblPr>
      <w:tblGrid>
        <w:gridCol w:w="1628"/>
        <w:gridCol w:w="859"/>
        <w:gridCol w:w="928"/>
        <w:gridCol w:w="1110"/>
        <w:gridCol w:w="859"/>
        <w:gridCol w:w="928"/>
        <w:gridCol w:w="1110"/>
      </w:tblGrid>
      <w:tr w:rsidR="005D07A6" w14:paraId="467E4602" w14:textId="77777777">
        <w:tc>
          <w:tcPr>
            <w:tcW w:w="1335" w:type="dxa"/>
            <w:tcBorders>
              <w:top w:val="nil"/>
              <w:left w:val="nil"/>
              <w:bottom w:val="nil"/>
              <w:right w:val="single" w:sz="4" w:space="0" w:color="auto"/>
            </w:tcBorders>
            <w:tcMar>
              <w:top w:w="0" w:type="dxa"/>
              <w:left w:w="2" w:type="dxa"/>
              <w:bottom w:w="0" w:type="dxa"/>
              <w:right w:w="2" w:type="dxa"/>
            </w:tcMar>
            <w:hideMark/>
          </w:tcPr>
          <w:p w14:paraId="71298DA8" w14:textId="77777777" w:rsidR="005D07A6" w:rsidRDefault="005D07A6"/>
        </w:tc>
        <w:tc>
          <w:tcPr>
            <w:tcW w:w="70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22C6362" w14:textId="77777777" w:rsidR="005D07A6" w:rsidRDefault="00F42774">
            <w:pPr>
              <w:pStyle w:val="TA1"/>
              <w:jc w:val="center"/>
              <w:rPr>
                <w:rFonts w:eastAsiaTheme="minorEastAsia"/>
              </w:rPr>
            </w:pPr>
            <w:r>
              <w:rPr>
                <w:b/>
                <w:bCs/>
              </w:rPr>
              <w:t>P1</w:t>
            </w:r>
          </w:p>
        </w:tc>
        <w:tc>
          <w:tcPr>
            <w:tcW w:w="70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BEDA275" w14:textId="77777777" w:rsidR="005D07A6" w:rsidRDefault="00F42774">
            <w:pPr>
              <w:pStyle w:val="TA1"/>
              <w:jc w:val="center"/>
              <w:rPr>
                <w:rFonts w:eastAsiaTheme="minorEastAsia"/>
              </w:rPr>
            </w:pPr>
            <w:r>
              <w:rPr>
                <w:b/>
                <w:bCs/>
              </w:rPr>
              <w:t>P2</w:t>
            </w:r>
          </w:p>
        </w:tc>
      </w:tr>
      <w:tr w:rsidR="005D07A6" w14:paraId="408D4980" w14:textId="77777777">
        <w:tc>
          <w:tcPr>
            <w:tcW w:w="1335" w:type="dxa"/>
            <w:tcBorders>
              <w:top w:val="nil"/>
              <w:left w:val="nil"/>
              <w:bottom w:val="single" w:sz="4" w:space="0" w:color="auto"/>
              <w:right w:val="single" w:sz="4" w:space="0" w:color="auto"/>
            </w:tcBorders>
            <w:tcMar>
              <w:top w:w="0" w:type="dxa"/>
              <w:left w:w="2" w:type="dxa"/>
              <w:bottom w:w="0" w:type="dxa"/>
              <w:right w:w="2" w:type="dxa"/>
            </w:tcMar>
            <w:hideMark/>
          </w:tcPr>
          <w:p w14:paraId="75509CF4" w14:textId="77777777" w:rsidR="005D07A6" w:rsidRDefault="005D07A6"/>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0A241DD" w14:textId="77777777" w:rsidR="005D07A6" w:rsidRDefault="00F42774">
            <w:pPr>
              <w:pStyle w:val="TA1"/>
              <w:jc w:val="center"/>
              <w:rPr>
                <w:rFonts w:eastAsiaTheme="minorEastAsia"/>
              </w:rPr>
            </w:pPr>
            <w:r>
              <w:rPr>
                <w:b/>
                <w:bCs/>
              </w:rPr>
              <w:t>Q</w:t>
            </w:r>
          </w:p>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BC593A0" w14:textId="77777777" w:rsidR="005D07A6" w:rsidRDefault="00F42774">
            <w:pPr>
              <w:pStyle w:val="TA1"/>
              <w:jc w:val="center"/>
              <w:rPr>
                <w:rFonts w:eastAsiaTheme="minorEastAsia"/>
              </w:rPr>
            </w:pPr>
            <w:r>
              <w:rPr>
                <w:b/>
                <w:bCs/>
              </w:rPr>
              <w:t>CU</w:t>
            </w:r>
          </w:p>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5BD40E2" w14:textId="77777777" w:rsidR="005D07A6" w:rsidRDefault="00F42774">
            <w:pPr>
              <w:pStyle w:val="TA1"/>
              <w:jc w:val="center"/>
              <w:rPr>
                <w:rFonts w:eastAsiaTheme="minorEastAsia"/>
              </w:rPr>
            </w:pPr>
            <w:r>
              <w:rPr>
                <w:b/>
                <w:bCs/>
              </w:rPr>
              <w:t>Montant</w:t>
            </w:r>
          </w:p>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86EFD30" w14:textId="77777777" w:rsidR="005D07A6" w:rsidRDefault="00F42774">
            <w:pPr>
              <w:pStyle w:val="TA1"/>
              <w:jc w:val="center"/>
              <w:rPr>
                <w:rFonts w:eastAsiaTheme="minorEastAsia"/>
              </w:rPr>
            </w:pPr>
            <w:r>
              <w:rPr>
                <w:b/>
                <w:bCs/>
              </w:rPr>
              <w:t>Q</w:t>
            </w:r>
          </w:p>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4F3E12C" w14:textId="77777777" w:rsidR="005D07A6" w:rsidRDefault="00F42774">
            <w:pPr>
              <w:pStyle w:val="TA1"/>
              <w:jc w:val="center"/>
              <w:rPr>
                <w:rFonts w:eastAsiaTheme="minorEastAsia"/>
              </w:rPr>
            </w:pPr>
            <w:r>
              <w:rPr>
                <w:b/>
                <w:bCs/>
              </w:rPr>
              <w:t>CU</w:t>
            </w:r>
          </w:p>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B121A72" w14:textId="77777777" w:rsidR="005D07A6" w:rsidRDefault="00F42774">
            <w:pPr>
              <w:pStyle w:val="TA1"/>
              <w:jc w:val="center"/>
              <w:rPr>
                <w:rFonts w:eastAsiaTheme="minorEastAsia"/>
              </w:rPr>
            </w:pPr>
            <w:r>
              <w:rPr>
                <w:b/>
                <w:bCs/>
              </w:rPr>
              <w:t>Montant</w:t>
            </w:r>
          </w:p>
        </w:tc>
      </w:tr>
      <w:tr w:rsidR="005D07A6" w14:paraId="54943864" w14:textId="77777777">
        <w:tc>
          <w:tcPr>
            <w:tcW w:w="133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7499549" w14:textId="77777777" w:rsidR="005D07A6" w:rsidRDefault="00F42774">
            <w:pPr>
              <w:pStyle w:val="TA1"/>
              <w:rPr>
                <w:rFonts w:eastAsiaTheme="minorEastAsia"/>
              </w:rPr>
            </w:pPr>
            <w:r>
              <w:t>Consommations MP</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CF0C692" w14:textId="77777777" w:rsidR="005D07A6" w:rsidRDefault="00F42774">
            <w:pPr>
              <w:pStyle w:val="TA1"/>
              <w:jc w:val="right"/>
              <w:rPr>
                <w:rFonts w:eastAsiaTheme="minorEastAsia"/>
              </w:rPr>
            </w:pPr>
            <w:r>
              <w:t>2 800</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BFE9998" w14:textId="77777777" w:rsidR="005D07A6" w:rsidRDefault="00F42774">
            <w:pPr>
              <w:pStyle w:val="TA1"/>
              <w:jc w:val="right"/>
              <w:rPr>
                <w:rFonts w:eastAsiaTheme="minorEastAsia"/>
              </w:rPr>
            </w:pPr>
            <w:r>
              <w:t>22,886</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1572BCA" w14:textId="77777777" w:rsidR="005D07A6" w:rsidRDefault="00F42774">
            <w:pPr>
              <w:pStyle w:val="TA1"/>
              <w:jc w:val="right"/>
              <w:rPr>
                <w:rFonts w:eastAsiaTheme="minorEastAsia"/>
              </w:rPr>
            </w:pPr>
            <w:r>
              <w:t>64 080,80</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837E0D6" w14:textId="77777777" w:rsidR="005D07A6" w:rsidRDefault="00F42774">
            <w:pPr>
              <w:pStyle w:val="TA1"/>
              <w:jc w:val="right"/>
              <w:rPr>
                <w:rFonts w:eastAsiaTheme="minorEastAsia"/>
              </w:rPr>
            </w:pPr>
            <w:r>
              <w:t>1 730</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2B966A1" w14:textId="77777777" w:rsidR="005D07A6" w:rsidRDefault="00F42774">
            <w:pPr>
              <w:pStyle w:val="TA1"/>
              <w:jc w:val="right"/>
              <w:rPr>
                <w:rFonts w:eastAsiaTheme="minorEastAsia"/>
              </w:rPr>
            </w:pPr>
            <w:r>
              <w:t>22,886</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DA3161D" w14:textId="77777777" w:rsidR="005D07A6" w:rsidRDefault="00F42774">
            <w:pPr>
              <w:pStyle w:val="TA1"/>
              <w:jc w:val="right"/>
              <w:rPr>
                <w:rFonts w:eastAsiaTheme="minorEastAsia"/>
              </w:rPr>
            </w:pPr>
            <w:r>
              <w:t>39 592,78</w:t>
            </w:r>
          </w:p>
        </w:tc>
      </w:tr>
      <w:tr w:rsidR="005D07A6" w14:paraId="06B3509B" w14:textId="77777777">
        <w:tc>
          <w:tcPr>
            <w:tcW w:w="1335" w:type="dxa"/>
            <w:tcBorders>
              <w:top w:val="nil"/>
              <w:left w:val="single" w:sz="4" w:space="0" w:color="auto"/>
              <w:bottom w:val="nil"/>
              <w:right w:val="single" w:sz="4" w:space="0" w:color="auto"/>
            </w:tcBorders>
            <w:tcMar>
              <w:top w:w="0" w:type="dxa"/>
              <w:left w:w="2" w:type="dxa"/>
              <w:bottom w:w="0" w:type="dxa"/>
              <w:right w:w="2" w:type="dxa"/>
            </w:tcMar>
            <w:hideMark/>
          </w:tcPr>
          <w:p w14:paraId="554436B5" w14:textId="77777777" w:rsidR="005D07A6" w:rsidRDefault="00F42774">
            <w:pPr>
              <w:pStyle w:val="TA1"/>
              <w:rPr>
                <w:rFonts w:eastAsiaTheme="minorEastAsia"/>
              </w:rPr>
            </w:pPr>
            <w:r>
              <w:t>MOD Atelier 1</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34F3AA8D" w14:textId="77777777" w:rsidR="005D07A6" w:rsidRDefault="00F42774">
            <w:pPr>
              <w:pStyle w:val="TA1"/>
              <w:jc w:val="right"/>
              <w:rPr>
                <w:rFonts w:eastAsiaTheme="minorEastAsia"/>
              </w:rPr>
            </w:pPr>
            <w:r>
              <w:t>200</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02E2B32D" w14:textId="77777777" w:rsidR="005D07A6" w:rsidRDefault="00F42774">
            <w:pPr>
              <w:pStyle w:val="TA1"/>
              <w:jc w:val="right"/>
              <w:rPr>
                <w:rFonts w:eastAsiaTheme="minorEastAsia"/>
              </w:rPr>
            </w:pPr>
            <w:r>
              <w:t>25</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4E00718E" w14:textId="77777777" w:rsidR="005D07A6" w:rsidRDefault="00F42774">
            <w:pPr>
              <w:pStyle w:val="TA1"/>
              <w:jc w:val="right"/>
              <w:rPr>
                <w:rFonts w:eastAsiaTheme="minorEastAsia"/>
              </w:rPr>
            </w:pPr>
            <w:r>
              <w:t>5 000,00</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021134E0" w14:textId="77777777" w:rsidR="005D07A6" w:rsidRDefault="00F42774">
            <w:pPr>
              <w:pStyle w:val="TA1"/>
              <w:jc w:val="right"/>
              <w:rPr>
                <w:rFonts w:eastAsiaTheme="minorEastAsia"/>
              </w:rPr>
            </w:pPr>
            <w:r>
              <w:t>340</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69262926" w14:textId="77777777" w:rsidR="005D07A6" w:rsidRDefault="00F42774">
            <w:pPr>
              <w:pStyle w:val="TA1"/>
              <w:jc w:val="right"/>
              <w:rPr>
                <w:rFonts w:eastAsiaTheme="minorEastAsia"/>
              </w:rPr>
            </w:pPr>
            <w:r>
              <w:t>25</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78058459" w14:textId="77777777" w:rsidR="005D07A6" w:rsidRDefault="00F42774">
            <w:pPr>
              <w:pStyle w:val="TA1"/>
              <w:jc w:val="right"/>
              <w:rPr>
                <w:rFonts w:eastAsiaTheme="minorEastAsia"/>
              </w:rPr>
            </w:pPr>
            <w:r>
              <w:t>8 500,00</w:t>
            </w:r>
          </w:p>
        </w:tc>
      </w:tr>
      <w:tr w:rsidR="005D07A6" w14:paraId="21B5F236" w14:textId="77777777">
        <w:tc>
          <w:tcPr>
            <w:tcW w:w="1335" w:type="dxa"/>
            <w:tcBorders>
              <w:top w:val="nil"/>
              <w:left w:val="single" w:sz="4" w:space="0" w:color="auto"/>
              <w:bottom w:val="nil"/>
              <w:right w:val="single" w:sz="4" w:space="0" w:color="auto"/>
            </w:tcBorders>
            <w:tcMar>
              <w:top w:w="0" w:type="dxa"/>
              <w:left w:w="2" w:type="dxa"/>
              <w:bottom w:w="0" w:type="dxa"/>
              <w:right w:w="2" w:type="dxa"/>
            </w:tcMar>
            <w:hideMark/>
          </w:tcPr>
          <w:p w14:paraId="282810F8" w14:textId="77777777" w:rsidR="005D07A6" w:rsidRDefault="00F42774">
            <w:pPr>
              <w:pStyle w:val="TA1"/>
              <w:rPr>
                <w:rFonts w:eastAsiaTheme="minorEastAsia"/>
              </w:rPr>
            </w:pPr>
            <w:r>
              <w:t>Centre Atelier 1</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241FB896" w14:textId="77777777" w:rsidR="005D07A6" w:rsidRDefault="00F42774">
            <w:pPr>
              <w:pStyle w:val="TA1"/>
              <w:jc w:val="right"/>
              <w:rPr>
                <w:rFonts w:eastAsiaTheme="minorEastAsia"/>
              </w:rPr>
            </w:pPr>
            <w:r>
              <w:t>200</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6FF918B3" w14:textId="77777777" w:rsidR="005D07A6" w:rsidRDefault="00F42774">
            <w:pPr>
              <w:pStyle w:val="TA1"/>
              <w:jc w:val="right"/>
              <w:rPr>
                <w:rFonts w:eastAsiaTheme="minorEastAsia"/>
              </w:rPr>
            </w:pPr>
            <w:r>
              <w:t>226,8519</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42356C6F" w14:textId="77777777" w:rsidR="005D07A6" w:rsidRDefault="00F42774">
            <w:pPr>
              <w:pStyle w:val="TA1"/>
              <w:jc w:val="right"/>
              <w:rPr>
                <w:rFonts w:eastAsiaTheme="minorEastAsia"/>
              </w:rPr>
            </w:pPr>
            <w:r>
              <w:t>45 370,37</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168DBD43" w14:textId="77777777" w:rsidR="005D07A6" w:rsidRDefault="00F42774">
            <w:pPr>
              <w:pStyle w:val="TA1"/>
              <w:jc w:val="right"/>
              <w:rPr>
                <w:rFonts w:eastAsiaTheme="minorEastAsia"/>
              </w:rPr>
            </w:pPr>
            <w:r>
              <w:t>340</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56A26C22" w14:textId="77777777" w:rsidR="005D07A6" w:rsidRDefault="00F42774">
            <w:pPr>
              <w:pStyle w:val="TA1"/>
              <w:jc w:val="right"/>
              <w:rPr>
                <w:rFonts w:eastAsiaTheme="minorEastAsia"/>
              </w:rPr>
            </w:pPr>
            <w:r>
              <w:t>226,8519</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301B486B" w14:textId="77777777" w:rsidR="005D07A6" w:rsidRDefault="00F42774">
            <w:pPr>
              <w:pStyle w:val="TA1"/>
              <w:jc w:val="right"/>
              <w:rPr>
                <w:rFonts w:eastAsiaTheme="minorEastAsia"/>
              </w:rPr>
            </w:pPr>
            <w:r>
              <w:t>77 129,63</w:t>
            </w:r>
          </w:p>
        </w:tc>
      </w:tr>
      <w:tr w:rsidR="005D07A6" w14:paraId="5F2D88FE" w14:textId="77777777">
        <w:tc>
          <w:tcPr>
            <w:tcW w:w="133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C19C414" w14:textId="77777777" w:rsidR="005D07A6" w:rsidRDefault="00F42774">
            <w:pPr>
              <w:pStyle w:val="TA1"/>
              <w:rPr>
                <w:rFonts w:eastAsiaTheme="minorEastAsia"/>
              </w:rPr>
            </w:pPr>
            <w:r>
              <w:t>Centre Atelier 2</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3841186" w14:textId="77777777" w:rsidR="005D07A6" w:rsidRDefault="00F42774">
            <w:pPr>
              <w:pStyle w:val="TA1"/>
              <w:jc w:val="right"/>
              <w:rPr>
                <w:rFonts w:eastAsiaTheme="minorEastAsia"/>
              </w:rPr>
            </w:pPr>
            <w:r>
              <w:t>300</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CA12ED9" w14:textId="77777777" w:rsidR="005D07A6" w:rsidRDefault="00F42774">
            <w:pPr>
              <w:pStyle w:val="TA1"/>
              <w:jc w:val="right"/>
              <w:rPr>
                <w:rFonts w:eastAsiaTheme="minorEastAsia"/>
              </w:rPr>
            </w:pPr>
            <w:r>
              <w:t>304,0323</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E8F2DA0" w14:textId="77777777" w:rsidR="005D07A6" w:rsidRDefault="00F42774">
            <w:pPr>
              <w:pStyle w:val="TA1"/>
              <w:jc w:val="right"/>
              <w:rPr>
                <w:rFonts w:eastAsiaTheme="minorEastAsia"/>
              </w:rPr>
            </w:pPr>
            <w:r>
              <w:t>91 209,68</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5D61117" w14:textId="77777777" w:rsidR="005D07A6" w:rsidRDefault="00F42774">
            <w:pPr>
              <w:pStyle w:val="TA1"/>
              <w:jc w:val="right"/>
              <w:rPr>
                <w:rFonts w:eastAsiaTheme="minorEastAsia"/>
              </w:rPr>
            </w:pPr>
            <w:r>
              <w:t>320</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05A8183" w14:textId="77777777" w:rsidR="005D07A6" w:rsidRDefault="00F42774">
            <w:pPr>
              <w:pStyle w:val="TA1"/>
              <w:jc w:val="right"/>
              <w:rPr>
                <w:rFonts w:eastAsiaTheme="minorEastAsia"/>
              </w:rPr>
            </w:pPr>
            <w:r>
              <w:t>304,0323</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B27567A" w14:textId="77777777" w:rsidR="005D07A6" w:rsidRDefault="00F42774">
            <w:pPr>
              <w:pStyle w:val="TA1"/>
              <w:jc w:val="right"/>
              <w:rPr>
                <w:rFonts w:eastAsiaTheme="minorEastAsia"/>
              </w:rPr>
            </w:pPr>
            <w:r>
              <w:t>97 290,32</w:t>
            </w:r>
          </w:p>
        </w:tc>
      </w:tr>
      <w:tr w:rsidR="005D07A6" w14:paraId="668993D6" w14:textId="77777777">
        <w:tc>
          <w:tcPr>
            <w:tcW w:w="13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0ED7015" w14:textId="77777777" w:rsidR="005D07A6" w:rsidRDefault="00F42774">
            <w:pPr>
              <w:pStyle w:val="TA1"/>
              <w:rPr>
                <w:rFonts w:eastAsiaTheme="minorEastAsia"/>
              </w:rPr>
            </w:pPr>
            <w:r>
              <w:t>Coût de production</w:t>
            </w:r>
          </w:p>
        </w:tc>
        <w:tc>
          <w:tcPr>
            <w:tcW w:w="7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FF1C07A" w14:textId="77777777" w:rsidR="005D07A6" w:rsidRDefault="00F42774">
            <w:pPr>
              <w:pStyle w:val="TA1"/>
              <w:jc w:val="right"/>
              <w:rPr>
                <w:rFonts w:eastAsiaTheme="minorEastAsia"/>
              </w:rPr>
            </w:pPr>
            <w:r>
              <w:t>7 425</w:t>
            </w:r>
          </w:p>
        </w:tc>
        <w:tc>
          <w:tcPr>
            <w:tcW w:w="7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871E30F" w14:textId="77777777" w:rsidR="005D07A6" w:rsidRDefault="00F42774">
            <w:pPr>
              <w:pStyle w:val="TA1"/>
              <w:jc w:val="right"/>
              <w:rPr>
                <w:rFonts w:eastAsiaTheme="minorEastAsia"/>
              </w:rPr>
            </w:pPr>
            <w:r>
              <w:t>27,6984</w:t>
            </w:r>
          </w:p>
        </w:tc>
        <w:tc>
          <w:tcPr>
            <w:tcW w:w="7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4208F04" w14:textId="77777777" w:rsidR="005D07A6" w:rsidRDefault="00F42774">
            <w:pPr>
              <w:pStyle w:val="TA1"/>
              <w:jc w:val="right"/>
              <w:rPr>
                <w:rFonts w:eastAsiaTheme="minorEastAsia"/>
              </w:rPr>
            </w:pPr>
            <w:r>
              <w:t>205 660,85</w:t>
            </w:r>
          </w:p>
        </w:tc>
        <w:tc>
          <w:tcPr>
            <w:tcW w:w="7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01B5AC2" w14:textId="77777777" w:rsidR="005D07A6" w:rsidRDefault="00F42774">
            <w:pPr>
              <w:pStyle w:val="TA1"/>
              <w:jc w:val="right"/>
              <w:rPr>
                <w:rFonts w:eastAsiaTheme="minorEastAsia"/>
              </w:rPr>
            </w:pPr>
            <w:r>
              <w:t>2 740</w:t>
            </w:r>
          </w:p>
        </w:tc>
        <w:tc>
          <w:tcPr>
            <w:tcW w:w="7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47570D7" w14:textId="77777777" w:rsidR="005D07A6" w:rsidRDefault="00F42774">
            <w:pPr>
              <w:pStyle w:val="TA1"/>
              <w:jc w:val="right"/>
              <w:rPr>
                <w:rFonts w:eastAsiaTheme="minorEastAsia"/>
              </w:rPr>
            </w:pPr>
            <w:r>
              <w:t>81,2090</w:t>
            </w:r>
          </w:p>
        </w:tc>
        <w:tc>
          <w:tcPr>
            <w:tcW w:w="7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876899A" w14:textId="77777777" w:rsidR="005D07A6" w:rsidRDefault="00F42774">
            <w:pPr>
              <w:pStyle w:val="TA1"/>
              <w:jc w:val="right"/>
              <w:rPr>
                <w:rFonts w:eastAsiaTheme="minorEastAsia"/>
              </w:rPr>
            </w:pPr>
            <w:r>
              <w:t>222 512,73</w:t>
            </w:r>
          </w:p>
        </w:tc>
      </w:tr>
    </w:tbl>
    <w:p w14:paraId="46F9701A" w14:textId="77777777" w:rsidR="005D07A6" w:rsidRDefault="00F42774">
      <w:pPr>
        <w:pStyle w:val="CTEspDessous"/>
        <w:rPr>
          <w:rFonts w:eastAsiaTheme="minorEastAsia"/>
        </w:rPr>
      </w:pPr>
      <w:r>
        <w:t>Les quantités produites sont obtenues à partir de l’égalité :</w:t>
      </w:r>
    </w:p>
    <w:p w14:paraId="6A4E7CD8" w14:textId="77777777" w:rsidR="005D07A6" w:rsidRDefault="00F42774">
      <w:pPr>
        <w:pStyle w:val="CTEspDessous"/>
      </w:pPr>
      <w:r>
        <w:t>Stock initial + Entrées = Sorties + Stock final</w:t>
      </w:r>
    </w:p>
    <w:p w14:paraId="60185DC8" w14:textId="77777777" w:rsidR="005D07A6" w:rsidRDefault="00F42774">
      <w:pPr>
        <w:pStyle w:val="CTEspDessous"/>
      </w:pPr>
      <w:r>
        <w:t>Pour P1 : 510 + production = 7 300 + 635 d’où production P1 = 7 425</w:t>
      </w:r>
    </w:p>
    <w:p w14:paraId="21D2B067" w14:textId="77777777" w:rsidR="005D07A6" w:rsidRDefault="00F42774">
      <w:pPr>
        <w:pStyle w:val="CTEspDessous"/>
      </w:pPr>
      <w:r>
        <w:t>Pour P2 : 480 + production = 2 750 + 470 d’où production P2 = 2 740</w:t>
      </w:r>
    </w:p>
    <w:p w14:paraId="2AC624BA" w14:textId="77777777" w:rsidR="005D07A6" w:rsidRDefault="00F42774">
      <w:pPr>
        <w:pStyle w:val="TNiv2"/>
      </w:pPr>
      <w:r>
        <w:t>d) Mise en stock</w:t>
      </w:r>
    </w:p>
    <w:tbl>
      <w:tblPr>
        <w:tblW w:w="7422" w:type="dxa"/>
        <w:tblInd w:w="1701" w:type="dxa"/>
        <w:tblLook w:val="04A0" w:firstRow="1" w:lastRow="0" w:firstColumn="1" w:lastColumn="0" w:noHBand="0" w:noVBand="1"/>
      </w:tblPr>
      <w:tblGrid>
        <w:gridCol w:w="1659"/>
        <w:gridCol w:w="876"/>
        <w:gridCol w:w="875"/>
        <w:gridCol w:w="1131"/>
        <w:gridCol w:w="875"/>
        <w:gridCol w:w="875"/>
        <w:gridCol w:w="1131"/>
      </w:tblGrid>
      <w:tr w:rsidR="005D07A6" w14:paraId="2E4C187A" w14:textId="77777777">
        <w:tc>
          <w:tcPr>
            <w:tcW w:w="1335" w:type="dxa"/>
            <w:tcBorders>
              <w:top w:val="nil"/>
              <w:left w:val="nil"/>
              <w:bottom w:val="nil"/>
              <w:right w:val="single" w:sz="4" w:space="0" w:color="auto"/>
            </w:tcBorders>
            <w:tcMar>
              <w:top w:w="0" w:type="dxa"/>
              <w:left w:w="2" w:type="dxa"/>
              <w:bottom w:w="0" w:type="dxa"/>
              <w:right w:w="2" w:type="dxa"/>
            </w:tcMar>
            <w:hideMark/>
          </w:tcPr>
          <w:p w14:paraId="0E7BCE16" w14:textId="77777777" w:rsidR="005D07A6" w:rsidRDefault="005D07A6"/>
        </w:tc>
        <w:tc>
          <w:tcPr>
            <w:tcW w:w="70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E9DE5A7" w14:textId="77777777" w:rsidR="005D07A6" w:rsidRDefault="00F42774">
            <w:pPr>
              <w:pStyle w:val="TA1"/>
              <w:jc w:val="center"/>
              <w:rPr>
                <w:rFonts w:eastAsiaTheme="minorEastAsia"/>
              </w:rPr>
            </w:pPr>
            <w:r>
              <w:rPr>
                <w:b/>
                <w:bCs/>
              </w:rPr>
              <w:t>P1</w:t>
            </w:r>
          </w:p>
        </w:tc>
        <w:tc>
          <w:tcPr>
            <w:tcW w:w="70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A801255" w14:textId="77777777" w:rsidR="005D07A6" w:rsidRDefault="00F42774">
            <w:pPr>
              <w:pStyle w:val="TA1"/>
              <w:jc w:val="center"/>
              <w:rPr>
                <w:rFonts w:eastAsiaTheme="minorEastAsia"/>
              </w:rPr>
            </w:pPr>
            <w:r>
              <w:rPr>
                <w:b/>
                <w:bCs/>
              </w:rPr>
              <w:t>P2</w:t>
            </w:r>
          </w:p>
        </w:tc>
      </w:tr>
      <w:tr w:rsidR="005D07A6" w14:paraId="6C1DC85F" w14:textId="77777777">
        <w:tc>
          <w:tcPr>
            <w:tcW w:w="1335" w:type="dxa"/>
            <w:tcBorders>
              <w:top w:val="nil"/>
              <w:left w:val="nil"/>
              <w:bottom w:val="single" w:sz="4" w:space="0" w:color="auto"/>
              <w:right w:val="single" w:sz="4" w:space="0" w:color="auto"/>
            </w:tcBorders>
            <w:tcMar>
              <w:top w:w="0" w:type="dxa"/>
              <w:left w:w="2" w:type="dxa"/>
              <w:bottom w:w="0" w:type="dxa"/>
              <w:right w:w="2" w:type="dxa"/>
            </w:tcMar>
            <w:hideMark/>
          </w:tcPr>
          <w:p w14:paraId="3853D2BE" w14:textId="77777777" w:rsidR="005D07A6" w:rsidRDefault="005D07A6"/>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2C89560" w14:textId="77777777" w:rsidR="005D07A6" w:rsidRDefault="00F42774">
            <w:pPr>
              <w:pStyle w:val="TA1"/>
              <w:jc w:val="center"/>
              <w:rPr>
                <w:rFonts w:eastAsiaTheme="minorEastAsia"/>
              </w:rPr>
            </w:pPr>
            <w:r>
              <w:rPr>
                <w:b/>
                <w:bCs/>
              </w:rPr>
              <w:t>Q</w:t>
            </w:r>
          </w:p>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41728E3" w14:textId="77777777" w:rsidR="005D07A6" w:rsidRDefault="00F42774">
            <w:pPr>
              <w:pStyle w:val="TA1"/>
              <w:jc w:val="center"/>
              <w:rPr>
                <w:rFonts w:eastAsiaTheme="minorEastAsia"/>
              </w:rPr>
            </w:pPr>
            <w:r>
              <w:rPr>
                <w:b/>
                <w:bCs/>
              </w:rPr>
              <w:t>CU</w:t>
            </w:r>
          </w:p>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7888254" w14:textId="77777777" w:rsidR="005D07A6" w:rsidRDefault="00F42774">
            <w:pPr>
              <w:pStyle w:val="TA1"/>
              <w:jc w:val="center"/>
              <w:rPr>
                <w:rFonts w:eastAsiaTheme="minorEastAsia"/>
              </w:rPr>
            </w:pPr>
            <w:r>
              <w:rPr>
                <w:b/>
                <w:bCs/>
              </w:rPr>
              <w:t>Montant</w:t>
            </w:r>
          </w:p>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AFCB6A4" w14:textId="77777777" w:rsidR="005D07A6" w:rsidRDefault="00F42774">
            <w:pPr>
              <w:pStyle w:val="TA1"/>
              <w:jc w:val="center"/>
              <w:rPr>
                <w:rFonts w:eastAsiaTheme="minorEastAsia"/>
              </w:rPr>
            </w:pPr>
            <w:r>
              <w:rPr>
                <w:b/>
                <w:bCs/>
              </w:rPr>
              <w:t>Q</w:t>
            </w:r>
          </w:p>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BF7A185" w14:textId="77777777" w:rsidR="005D07A6" w:rsidRDefault="00F42774">
            <w:pPr>
              <w:pStyle w:val="TA1"/>
              <w:jc w:val="center"/>
              <w:rPr>
                <w:rFonts w:eastAsiaTheme="minorEastAsia"/>
              </w:rPr>
            </w:pPr>
            <w:r>
              <w:rPr>
                <w:b/>
                <w:bCs/>
              </w:rPr>
              <w:t>CU</w:t>
            </w:r>
          </w:p>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5FC538A" w14:textId="77777777" w:rsidR="005D07A6" w:rsidRDefault="00F42774">
            <w:pPr>
              <w:pStyle w:val="TA1"/>
              <w:jc w:val="center"/>
              <w:rPr>
                <w:rFonts w:eastAsiaTheme="minorEastAsia"/>
              </w:rPr>
            </w:pPr>
            <w:r>
              <w:rPr>
                <w:b/>
                <w:bCs/>
              </w:rPr>
              <w:t>Montant</w:t>
            </w:r>
          </w:p>
        </w:tc>
      </w:tr>
      <w:tr w:rsidR="005D07A6" w14:paraId="48214E7D" w14:textId="77777777">
        <w:tc>
          <w:tcPr>
            <w:tcW w:w="133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D9CCC70" w14:textId="77777777" w:rsidR="005D07A6" w:rsidRDefault="00F42774">
            <w:pPr>
              <w:pStyle w:val="TA1"/>
              <w:rPr>
                <w:rFonts w:eastAsiaTheme="minorEastAsia"/>
              </w:rPr>
            </w:pPr>
            <w:r>
              <w:t>Stock initial</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35BBC22" w14:textId="77777777" w:rsidR="005D07A6" w:rsidRDefault="00F42774">
            <w:pPr>
              <w:pStyle w:val="TA1"/>
              <w:jc w:val="right"/>
              <w:rPr>
                <w:rFonts w:eastAsiaTheme="minorEastAsia"/>
              </w:rPr>
            </w:pPr>
            <w:r>
              <w:t>510</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14D16DA" w14:textId="77777777" w:rsidR="005D07A6" w:rsidRDefault="005D07A6"/>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572935E" w14:textId="77777777" w:rsidR="005D07A6" w:rsidRDefault="00F42774">
            <w:pPr>
              <w:pStyle w:val="TA1"/>
              <w:jc w:val="right"/>
              <w:rPr>
                <w:rFonts w:eastAsiaTheme="minorEastAsia"/>
              </w:rPr>
            </w:pPr>
            <w:r>
              <w:t>13 750,00</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78C65BF" w14:textId="77777777" w:rsidR="005D07A6" w:rsidRDefault="00F42774">
            <w:pPr>
              <w:pStyle w:val="TA1"/>
              <w:jc w:val="right"/>
              <w:rPr>
                <w:rFonts w:eastAsiaTheme="minorEastAsia"/>
              </w:rPr>
            </w:pPr>
            <w:r>
              <w:t>480</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028401B" w14:textId="77777777" w:rsidR="005D07A6" w:rsidRDefault="005D07A6"/>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3301EFA" w14:textId="77777777" w:rsidR="005D07A6" w:rsidRDefault="00F42774">
            <w:pPr>
              <w:pStyle w:val="TA1"/>
              <w:jc w:val="right"/>
              <w:rPr>
                <w:rFonts w:eastAsiaTheme="minorEastAsia"/>
              </w:rPr>
            </w:pPr>
            <w:r>
              <w:t>44 190,00</w:t>
            </w:r>
          </w:p>
        </w:tc>
      </w:tr>
      <w:tr w:rsidR="005D07A6" w14:paraId="0C33306C" w14:textId="77777777">
        <w:tc>
          <w:tcPr>
            <w:tcW w:w="1335" w:type="dxa"/>
            <w:tcBorders>
              <w:top w:val="nil"/>
              <w:left w:val="single" w:sz="4" w:space="0" w:color="auto"/>
              <w:bottom w:val="nil"/>
              <w:right w:val="single" w:sz="4" w:space="0" w:color="auto"/>
            </w:tcBorders>
            <w:tcMar>
              <w:top w:w="0" w:type="dxa"/>
              <w:left w:w="2" w:type="dxa"/>
              <w:bottom w:w="0" w:type="dxa"/>
              <w:right w:w="2" w:type="dxa"/>
            </w:tcMar>
            <w:hideMark/>
          </w:tcPr>
          <w:p w14:paraId="40CCD9F1" w14:textId="77777777" w:rsidR="005D07A6" w:rsidRDefault="00F42774">
            <w:pPr>
              <w:pStyle w:val="TA1"/>
              <w:rPr>
                <w:rFonts w:eastAsiaTheme="minorEastAsia"/>
              </w:rPr>
            </w:pPr>
            <w:r>
              <w:t>Entrée</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DD1C5CD" w14:textId="77777777" w:rsidR="005D07A6" w:rsidRDefault="00F42774">
            <w:pPr>
              <w:pStyle w:val="TA1"/>
              <w:jc w:val="right"/>
              <w:rPr>
                <w:rFonts w:eastAsiaTheme="minorEastAsia"/>
              </w:rPr>
            </w:pPr>
            <w:r>
              <w:t>7 425</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439DF561" w14:textId="77777777" w:rsidR="005D07A6" w:rsidRDefault="00F42774">
            <w:pPr>
              <w:pStyle w:val="TA1"/>
              <w:jc w:val="right"/>
              <w:rPr>
                <w:rFonts w:eastAsiaTheme="minorEastAsia"/>
              </w:rPr>
            </w:pPr>
            <w:r>
              <w:t>27,6984</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DDB7503" w14:textId="77777777" w:rsidR="005D07A6" w:rsidRDefault="00F42774">
            <w:pPr>
              <w:pStyle w:val="TA1"/>
              <w:jc w:val="right"/>
              <w:rPr>
                <w:rFonts w:eastAsiaTheme="minorEastAsia"/>
              </w:rPr>
            </w:pPr>
            <w:r>
              <w:t>205 660,85</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724C7B7" w14:textId="77777777" w:rsidR="005D07A6" w:rsidRDefault="00F42774">
            <w:pPr>
              <w:pStyle w:val="TA1"/>
              <w:jc w:val="right"/>
              <w:rPr>
                <w:rFonts w:eastAsiaTheme="minorEastAsia"/>
              </w:rPr>
            </w:pPr>
            <w:r>
              <w:t>2 740</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290E5FDE" w14:textId="77777777" w:rsidR="005D07A6" w:rsidRDefault="00F42774">
            <w:pPr>
              <w:pStyle w:val="TA1"/>
              <w:jc w:val="right"/>
              <w:rPr>
                <w:rFonts w:eastAsiaTheme="minorEastAsia"/>
              </w:rPr>
            </w:pPr>
            <w:r>
              <w:t>81,2090</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7809DD1" w14:textId="77777777" w:rsidR="005D07A6" w:rsidRDefault="00F42774">
            <w:pPr>
              <w:pStyle w:val="TA1"/>
              <w:jc w:val="right"/>
              <w:rPr>
                <w:rFonts w:eastAsiaTheme="minorEastAsia"/>
              </w:rPr>
            </w:pPr>
            <w:r>
              <w:t>222 512,73</w:t>
            </w:r>
          </w:p>
        </w:tc>
      </w:tr>
      <w:tr w:rsidR="005D07A6" w14:paraId="1BCACD25" w14:textId="77777777">
        <w:tc>
          <w:tcPr>
            <w:tcW w:w="1335" w:type="dxa"/>
            <w:tcBorders>
              <w:top w:val="nil"/>
              <w:left w:val="single" w:sz="4" w:space="0" w:color="auto"/>
              <w:bottom w:val="nil"/>
              <w:right w:val="single" w:sz="4" w:space="0" w:color="auto"/>
            </w:tcBorders>
            <w:tcMar>
              <w:top w:w="0" w:type="dxa"/>
              <w:left w:w="2" w:type="dxa"/>
              <w:bottom w:w="0" w:type="dxa"/>
              <w:right w:w="2" w:type="dxa"/>
            </w:tcMar>
            <w:hideMark/>
          </w:tcPr>
          <w:p w14:paraId="22D55C61" w14:textId="77777777" w:rsidR="005D07A6" w:rsidRDefault="005D07A6"/>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E45B11A" w14:textId="77777777" w:rsidR="005D07A6" w:rsidRDefault="00F42774">
            <w:pPr>
              <w:pStyle w:val="TA1"/>
              <w:jc w:val="right"/>
              <w:rPr>
                <w:rFonts w:eastAsiaTheme="minorEastAsia"/>
              </w:rPr>
            </w:pPr>
            <w:r>
              <w:t>7 935</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02A837AC" w14:textId="77777777" w:rsidR="005D07A6" w:rsidRDefault="00F42774">
            <w:pPr>
              <w:pStyle w:val="TA1"/>
              <w:jc w:val="right"/>
              <w:rPr>
                <w:rFonts w:eastAsiaTheme="minorEastAsia"/>
              </w:rPr>
            </w:pPr>
            <w:r>
              <w:t>27,6510</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A6C7377" w14:textId="77777777" w:rsidR="005D07A6" w:rsidRDefault="00F42774">
            <w:pPr>
              <w:pStyle w:val="TA1"/>
              <w:jc w:val="right"/>
              <w:rPr>
                <w:rFonts w:eastAsiaTheme="minorEastAsia"/>
              </w:rPr>
            </w:pPr>
            <w:r>
              <w:t>219 410,85</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D9655A0" w14:textId="77777777" w:rsidR="005D07A6" w:rsidRDefault="00F42774">
            <w:pPr>
              <w:pStyle w:val="TA1"/>
              <w:jc w:val="right"/>
              <w:rPr>
                <w:rFonts w:eastAsiaTheme="minorEastAsia"/>
              </w:rPr>
            </w:pPr>
            <w:r>
              <w:t>3 220</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0B5FD135" w14:textId="77777777" w:rsidR="005D07A6" w:rsidRDefault="00F42774">
            <w:pPr>
              <w:pStyle w:val="TA1"/>
              <w:jc w:val="right"/>
              <w:rPr>
                <w:rFonts w:eastAsiaTheme="minorEastAsia"/>
              </w:rPr>
            </w:pPr>
            <w:r>
              <w:t>82,8269</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5E98CC8" w14:textId="77777777" w:rsidR="005D07A6" w:rsidRDefault="00F42774">
            <w:pPr>
              <w:pStyle w:val="TA1"/>
              <w:jc w:val="right"/>
              <w:rPr>
                <w:rFonts w:eastAsiaTheme="minorEastAsia"/>
              </w:rPr>
            </w:pPr>
            <w:r>
              <w:t>266 702,73</w:t>
            </w:r>
          </w:p>
        </w:tc>
      </w:tr>
      <w:tr w:rsidR="005D07A6" w14:paraId="5199175E" w14:textId="77777777">
        <w:tc>
          <w:tcPr>
            <w:tcW w:w="1335" w:type="dxa"/>
            <w:tcBorders>
              <w:top w:val="nil"/>
              <w:left w:val="single" w:sz="4" w:space="0" w:color="auto"/>
              <w:bottom w:val="nil"/>
              <w:right w:val="single" w:sz="4" w:space="0" w:color="auto"/>
            </w:tcBorders>
            <w:tcMar>
              <w:top w:w="0" w:type="dxa"/>
              <w:left w:w="2" w:type="dxa"/>
              <w:bottom w:w="0" w:type="dxa"/>
              <w:right w:w="2" w:type="dxa"/>
            </w:tcMar>
            <w:hideMark/>
          </w:tcPr>
          <w:p w14:paraId="4E2CBAEA" w14:textId="77777777" w:rsidR="005D07A6" w:rsidRDefault="005D07A6"/>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250B7EDF" w14:textId="77777777" w:rsidR="005D07A6" w:rsidRDefault="005D07A6"/>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450EFF03" w14:textId="77777777" w:rsidR="005D07A6" w:rsidRDefault="005D07A6"/>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6B59F34C" w14:textId="77777777" w:rsidR="005D07A6" w:rsidRDefault="005D07A6"/>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74D7A94F" w14:textId="77777777" w:rsidR="005D07A6" w:rsidRDefault="005D07A6"/>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108741E6" w14:textId="77777777" w:rsidR="005D07A6" w:rsidRDefault="005D07A6"/>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2FF7D452" w14:textId="77777777" w:rsidR="005D07A6" w:rsidRDefault="005D07A6"/>
        </w:tc>
      </w:tr>
      <w:tr w:rsidR="005D07A6" w14:paraId="1E9F5EF5" w14:textId="77777777">
        <w:tc>
          <w:tcPr>
            <w:tcW w:w="1335" w:type="dxa"/>
            <w:tcBorders>
              <w:top w:val="nil"/>
              <w:left w:val="single" w:sz="4" w:space="0" w:color="auto"/>
              <w:bottom w:val="nil"/>
              <w:right w:val="single" w:sz="4" w:space="0" w:color="auto"/>
            </w:tcBorders>
            <w:tcMar>
              <w:top w:w="0" w:type="dxa"/>
              <w:left w:w="2" w:type="dxa"/>
              <w:bottom w:w="0" w:type="dxa"/>
              <w:right w:w="2" w:type="dxa"/>
            </w:tcMar>
            <w:hideMark/>
          </w:tcPr>
          <w:p w14:paraId="79225938" w14:textId="77777777" w:rsidR="005D07A6" w:rsidRDefault="00F42774">
            <w:pPr>
              <w:pStyle w:val="TA1"/>
              <w:rPr>
                <w:rFonts w:eastAsiaTheme="minorEastAsia"/>
              </w:rPr>
            </w:pPr>
            <w:r>
              <w:t>Sorties</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35C5C503" w14:textId="77777777" w:rsidR="005D07A6" w:rsidRDefault="00F42774">
            <w:pPr>
              <w:pStyle w:val="TA1"/>
              <w:jc w:val="right"/>
              <w:rPr>
                <w:rFonts w:eastAsiaTheme="minorEastAsia"/>
              </w:rPr>
            </w:pPr>
            <w:r>
              <w:t>7 300</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7F23CDBE" w14:textId="77777777" w:rsidR="005D07A6" w:rsidRDefault="00F42774">
            <w:pPr>
              <w:pStyle w:val="TA1"/>
              <w:jc w:val="right"/>
              <w:rPr>
                <w:rFonts w:eastAsiaTheme="minorEastAsia"/>
              </w:rPr>
            </w:pPr>
            <w:r>
              <w:t>27,6510</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1B98E112" w14:textId="77777777" w:rsidR="005D07A6" w:rsidRDefault="00F42774">
            <w:pPr>
              <w:pStyle w:val="TA1"/>
              <w:jc w:val="right"/>
              <w:rPr>
                <w:rFonts w:eastAsiaTheme="minorEastAsia"/>
              </w:rPr>
            </w:pPr>
            <w:r>
              <w:t>201 852,45</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52FF2A82" w14:textId="77777777" w:rsidR="005D07A6" w:rsidRDefault="00F42774">
            <w:pPr>
              <w:pStyle w:val="TA1"/>
              <w:jc w:val="right"/>
              <w:rPr>
                <w:rFonts w:eastAsiaTheme="minorEastAsia"/>
              </w:rPr>
            </w:pPr>
            <w:r>
              <w:t>2 750</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220E9532" w14:textId="77777777" w:rsidR="005D07A6" w:rsidRDefault="00F42774">
            <w:pPr>
              <w:pStyle w:val="TA1"/>
              <w:jc w:val="right"/>
              <w:rPr>
                <w:rFonts w:eastAsiaTheme="minorEastAsia"/>
              </w:rPr>
            </w:pPr>
            <w:r>
              <w:t>82,8269</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247E5C15" w14:textId="77777777" w:rsidR="005D07A6" w:rsidRDefault="00F42774">
            <w:pPr>
              <w:pStyle w:val="TA1"/>
              <w:jc w:val="right"/>
              <w:rPr>
                <w:rFonts w:eastAsiaTheme="minorEastAsia"/>
              </w:rPr>
            </w:pPr>
            <w:r>
              <w:t>227 774,07</w:t>
            </w:r>
          </w:p>
        </w:tc>
      </w:tr>
      <w:tr w:rsidR="005D07A6" w14:paraId="3318B2A8" w14:textId="77777777">
        <w:tc>
          <w:tcPr>
            <w:tcW w:w="1335" w:type="dxa"/>
            <w:tcBorders>
              <w:top w:val="nil"/>
              <w:left w:val="single" w:sz="4" w:space="0" w:color="auto"/>
              <w:bottom w:val="nil"/>
              <w:right w:val="single" w:sz="4" w:space="0" w:color="auto"/>
            </w:tcBorders>
            <w:tcMar>
              <w:top w:w="0" w:type="dxa"/>
              <w:left w:w="2" w:type="dxa"/>
              <w:bottom w:w="0" w:type="dxa"/>
              <w:right w:w="2" w:type="dxa"/>
            </w:tcMar>
            <w:hideMark/>
          </w:tcPr>
          <w:p w14:paraId="630AA1DC" w14:textId="77777777" w:rsidR="005D07A6" w:rsidRDefault="00F42774">
            <w:pPr>
              <w:pStyle w:val="TA1"/>
              <w:rPr>
                <w:rFonts w:eastAsiaTheme="minorEastAsia"/>
              </w:rPr>
            </w:pPr>
            <w:r>
              <w:t>Stock final</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9F0725A" w14:textId="77777777" w:rsidR="005D07A6" w:rsidRDefault="00F42774">
            <w:pPr>
              <w:pStyle w:val="TA1"/>
              <w:jc w:val="right"/>
              <w:rPr>
                <w:rFonts w:eastAsiaTheme="minorEastAsia"/>
              </w:rPr>
            </w:pPr>
            <w:r>
              <w:t>635</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085FC316" w14:textId="77777777" w:rsidR="005D07A6" w:rsidRDefault="00F42774">
            <w:pPr>
              <w:pStyle w:val="TA1"/>
              <w:jc w:val="right"/>
              <w:rPr>
                <w:rFonts w:eastAsiaTheme="minorEastAsia"/>
              </w:rPr>
            </w:pPr>
            <w:r>
              <w:t>27,6510</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CCBD50B" w14:textId="77777777" w:rsidR="005D07A6" w:rsidRDefault="00F42774">
            <w:pPr>
              <w:pStyle w:val="TA1"/>
              <w:jc w:val="right"/>
              <w:rPr>
                <w:rFonts w:eastAsiaTheme="minorEastAsia"/>
              </w:rPr>
            </w:pPr>
            <w:r>
              <w:t>17 558,40</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2B8EDBA" w14:textId="77777777" w:rsidR="005D07A6" w:rsidRDefault="00F42774">
            <w:pPr>
              <w:pStyle w:val="TA1"/>
              <w:jc w:val="right"/>
              <w:rPr>
                <w:rFonts w:eastAsiaTheme="minorEastAsia"/>
              </w:rPr>
            </w:pPr>
            <w:r>
              <w:t>470</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5B84AD2B" w14:textId="77777777" w:rsidR="005D07A6" w:rsidRDefault="00F42774">
            <w:pPr>
              <w:pStyle w:val="TA1"/>
              <w:jc w:val="right"/>
              <w:rPr>
                <w:rFonts w:eastAsiaTheme="minorEastAsia"/>
              </w:rPr>
            </w:pPr>
            <w:r>
              <w:t>82,8269</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BF43818" w14:textId="77777777" w:rsidR="005D07A6" w:rsidRDefault="00F42774">
            <w:pPr>
              <w:pStyle w:val="TA1"/>
              <w:jc w:val="right"/>
              <w:rPr>
                <w:rFonts w:eastAsiaTheme="minorEastAsia"/>
              </w:rPr>
            </w:pPr>
            <w:r>
              <w:t>38 928,66</w:t>
            </w:r>
          </w:p>
        </w:tc>
      </w:tr>
      <w:tr w:rsidR="005D07A6" w14:paraId="5C7F76D9" w14:textId="77777777">
        <w:tc>
          <w:tcPr>
            <w:tcW w:w="133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58AAAE0" w14:textId="77777777" w:rsidR="005D07A6" w:rsidRDefault="005D07A6"/>
        </w:tc>
        <w:tc>
          <w:tcPr>
            <w:tcW w:w="7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3CA3708" w14:textId="77777777" w:rsidR="005D07A6" w:rsidRDefault="00F42774">
            <w:pPr>
              <w:pStyle w:val="TA1"/>
              <w:jc w:val="right"/>
              <w:rPr>
                <w:rFonts w:eastAsiaTheme="minorEastAsia"/>
              </w:rPr>
            </w:pPr>
            <w:r>
              <w:t>7 935</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FADF7B6" w14:textId="77777777" w:rsidR="005D07A6" w:rsidRDefault="00F42774">
            <w:pPr>
              <w:pStyle w:val="TA1"/>
              <w:jc w:val="right"/>
              <w:rPr>
                <w:rFonts w:eastAsiaTheme="minorEastAsia"/>
              </w:rPr>
            </w:pPr>
            <w:r>
              <w:t>27,6510</w:t>
            </w:r>
          </w:p>
        </w:tc>
        <w:tc>
          <w:tcPr>
            <w:tcW w:w="7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004D7BD" w14:textId="77777777" w:rsidR="005D07A6" w:rsidRDefault="00F42774">
            <w:pPr>
              <w:pStyle w:val="TA1"/>
              <w:jc w:val="right"/>
              <w:rPr>
                <w:rFonts w:eastAsiaTheme="minorEastAsia"/>
              </w:rPr>
            </w:pPr>
            <w:r>
              <w:t>219 410,85</w:t>
            </w:r>
          </w:p>
        </w:tc>
        <w:tc>
          <w:tcPr>
            <w:tcW w:w="7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4D5203D" w14:textId="77777777" w:rsidR="005D07A6" w:rsidRDefault="00F42774">
            <w:pPr>
              <w:pStyle w:val="TA1"/>
              <w:jc w:val="right"/>
              <w:rPr>
                <w:rFonts w:eastAsiaTheme="minorEastAsia"/>
              </w:rPr>
            </w:pPr>
            <w:r>
              <w:t>3 220</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F428EF1" w14:textId="77777777" w:rsidR="005D07A6" w:rsidRDefault="00F42774">
            <w:pPr>
              <w:pStyle w:val="TA1"/>
              <w:jc w:val="right"/>
              <w:rPr>
                <w:rFonts w:eastAsiaTheme="minorEastAsia"/>
              </w:rPr>
            </w:pPr>
            <w:r>
              <w:t>82,8269</w:t>
            </w:r>
          </w:p>
        </w:tc>
        <w:tc>
          <w:tcPr>
            <w:tcW w:w="7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77271AA" w14:textId="77777777" w:rsidR="005D07A6" w:rsidRDefault="00F42774">
            <w:pPr>
              <w:pStyle w:val="TA1"/>
              <w:jc w:val="right"/>
              <w:rPr>
                <w:rFonts w:eastAsiaTheme="minorEastAsia"/>
              </w:rPr>
            </w:pPr>
            <w:r>
              <w:t>266 702,73</w:t>
            </w:r>
          </w:p>
        </w:tc>
      </w:tr>
    </w:tbl>
    <w:p w14:paraId="20FF58D9" w14:textId="77777777" w:rsidR="005D07A6" w:rsidRDefault="00F42774">
      <w:pPr>
        <w:pStyle w:val="CTEspDessous"/>
        <w:rPr>
          <w:rFonts w:eastAsiaTheme="minorEastAsia"/>
        </w:rPr>
      </w:pPr>
      <w:r>
        <w:t>Coût de production des produits vendus = 201 852,45 + 227 774,07 = 429 626,52</w:t>
      </w:r>
    </w:p>
    <w:p w14:paraId="7F003387" w14:textId="77777777" w:rsidR="005D07A6" w:rsidRDefault="00F42774">
      <w:pPr>
        <w:pStyle w:val="TNiv2"/>
      </w:pPr>
      <w:r>
        <w:t>e) Calcul des coûts de revient et résultats analytiques</w:t>
      </w:r>
    </w:p>
    <w:tbl>
      <w:tblPr>
        <w:tblW w:w="7422" w:type="dxa"/>
        <w:tblInd w:w="1701" w:type="dxa"/>
        <w:tblLook w:val="04A0" w:firstRow="1" w:lastRow="0" w:firstColumn="1" w:lastColumn="0" w:noHBand="0" w:noVBand="1"/>
      </w:tblPr>
      <w:tblGrid>
        <w:gridCol w:w="1652"/>
        <w:gridCol w:w="976"/>
        <w:gridCol w:w="933"/>
        <w:gridCol w:w="976"/>
        <w:gridCol w:w="976"/>
        <w:gridCol w:w="933"/>
        <w:gridCol w:w="976"/>
      </w:tblGrid>
      <w:tr w:rsidR="005D07A6" w14:paraId="07961EF5" w14:textId="77777777">
        <w:tc>
          <w:tcPr>
            <w:tcW w:w="1335" w:type="dxa"/>
            <w:tcBorders>
              <w:top w:val="nil"/>
              <w:left w:val="nil"/>
              <w:bottom w:val="nil"/>
              <w:right w:val="single" w:sz="4" w:space="0" w:color="auto"/>
            </w:tcBorders>
            <w:tcMar>
              <w:top w:w="0" w:type="dxa"/>
              <w:left w:w="2" w:type="dxa"/>
              <w:bottom w:w="0" w:type="dxa"/>
              <w:right w:w="2" w:type="dxa"/>
            </w:tcMar>
            <w:hideMark/>
          </w:tcPr>
          <w:p w14:paraId="45C5B2CF" w14:textId="77777777" w:rsidR="005D07A6" w:rsidRDefault="005D07A6"/>
        </w:tc>
        <w:tc>
          <w:tcPr>
            <w:tcW w:w="70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C699746" w14:textId="77777777" w:rsidR="005D07A6" w:rsidRDefault="00F42774">
            <w:pPr>
              <w:pStyle w:val="TA1"/>
              <w:jc w:val="center"/>
              <w:rPr>
                <w:rFonts w:eastAsiaTheme="minorEastAsia"/>
              </w:rPr>
            </w:pPr>
            <w:r>
              <w:rPr>
                <w:b/>
                <w:bCs/>
              </w:rPr>
              <w:t>P1</w:t>
            </w:r>
          </w:p>
        </w:tc>
        <w:tc>
          <w:tcPr>
            <w:tcW w:w="70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9DD3DBD" w14:textId="77777777" w:rsidR="005D07A6" w:rsidRDefault="00F42774">
            <w:pPr>
              <w:pStyle w:val="TA1"/>
              <w:jc w:val="center"/>
              <w:rPr>
                <w:rFonts w:eastAsiaTheme="minorEastAsia"/>
              </w:rPr>
            </w:pPr>
            <w:r>
              <w:rPr>
                <w:b/>
                <w:bCs/>
              </w:rPr>
              <w:t>P2</w:t>
            </w:r>
          </w:p>
        </w:tc>
      </w:tr>
      <w:tr w:rsidR="005D07A6" w14:paraId="7D0D0D1A" w14:textId="77777777">
        <w:tc>
          <w:tcPr>
            <w:tcW w:w="1335" w:type="dxa"/>
            <w:tcBorders>
              <w:top w:val="nil"/>
              <w:left w:val="nil"/>
              <w:bottom w:val="single" w:sz="4" w:space="0" w:color="auto"/>
              <w:right w:val="single" w:sz="4" w:space="0" w:color="auto"/>
            </w:tcBorders>
            <w:tcMar>
              <w:top w:w="0" w:type="dxa"/>
              <w:left w:w="2" w:type="dxa"/>
              <w:bottom w:w="0" w:type="dxa"/>
              <w:right w:w="2" w:type="dxa"/>
            </w:tcMar>
            <w:hideMark/>
          </w:tcPr>
          <w:p w14:paraId="252E3F53" w14:textId="77777777" w:rsidR="005D07A6" w:rsidRDefault="005D07A6"/>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A400DF8" w14:textId="77777777" w:rsidR="005D07A6" w:rsidRDefault="00F42774">
            <w:pPr>
              <w:pStyle w:val="TA1"/>
              <w:jc w:val="center"/>
              <w:rPr>
                <w:rFonts w:eastAsiaTheme="minorEastAsia"/>
              </w:rPr>
            </w:pPr>
            <w:r>
              <w:rPr>
                <w:b/>
                <w:bCs/>
              </w:rPr>
              <w:t>Q</w:t>
            </w:r>
          </w:p>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664D37D" w14:textId="77777777" w:rsidR="005D07A6" w:rsidRDefault="00F42774">
            <w:pPr>
              <w:pStyle w:val="TA1"/>
              <w:jc w:val="center"/>
              <w:rPr>
                <w:rFonts w:eastAsiaTheme="minorEastAsia"/>
              </w:rPr>
            </w:pPr>
            <w:r>
              <w:rPr>
                <w:b/>
                <w:bCs/>
              </w:rPr>
              <w:t>CU</w:t>
            </w:r>
          </w:p>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5122791" w14:textId="77777777" w:rsidR="005D07A6" w:rsidRDefault="00F42774">
            <w:pPr>
              <w:pStyle w:val="TA1"/>
              <w:jc w:val="center"/>
              <w:rPr>
                <w:rFonts w:eastAsiaTheme="minorEastAsia"/>
              </w:rPr>
            </w:pPr>
            <w:r>
              <w:rPr>
                <w:b/>
                <w:bCs/>
              </w:rPr>
              <w:t>Montant</w:t>
            </w:r>
          </w:p>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484D89F" w14:textId="77777777" w:rsidR="005D07A6" w:rsidRDefault="00F42774">
            <w:pPr>
              <w:pStyle w:val="TA1"/>
              <w:jc w:val="center"/>
              <w:rPr>
                <w:rFonts w:eastAsiaTheme="minorEastAsia"/>
              </w:rPr>
            </w:pPr>
            <w:r>
              <w:rPr>
                <w:b/>
                <w:bCs/>
              </w:rPr>
              <w:t>Q</w:t>
            </w:r>
          </w:p>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776F14C" w14:textId="77777777" w:rsidR="005D07A6" w:rsidRDefault="00F42774">
            <w:pPr>
              <w:pStyle w:val="TA1"/>
              <w:jc w:val="center"/>
              <w:rPr>
                <w:rFonts w:eastAsiaTheme="minorEastAsia"/>
              </w:rPr>
            </w:pPr>
            <w:r>
              <w:rPr>
                <w:b/>
                <w:bCs/>
              </w:rPr>
              <w:t>CU</w:t>
            </w:r>
          </w:p>
        </w:tc>
        <w:tc>
          <w:tcPr>
            <w:tcW w:w="7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913F0E3" w14:textId="77777777" w:rsidR="005D07A6" w:rsidRDefault="00F42774">
            <w:pPr>
              <w:pStyle w:val="TA1"/>
              <w:jc w:val="center"/>
              <w:rPr>
                <w:rFonts w:eastAsiaTheme="minorEastAsia"/>
              </w:rPr>
            </w:pPr>
            <w:r>
              <w:rPr>
                <w:b/>
                <w:bCs/>
              </w:rPr>
              <w:t>Montant</w:t>
            </w:r>
          </w:p>
        </w:tc>
      </w:tr>
      <w:tr w:rsidR="005D07A6" w14:paraId="41D2D14C" w14:textId="77777777">
        <w:tc>
          <w:tcPr>
            <w:tcW w:w="133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8BC9A13" w14:textId="77777777" w:rsidR="005D07A6" w:rsidRDefault="00F42774">
            <w:pPr>
              <w:pStyle w:val="TA1"/>
              <w:rPr>
                <w:rFonts w:eastAsiaTheme="minorEastAsia"/>
              </w:rPr>
            </w:pPr>
            <w:r>
              <w:t>Coût production des produits vendus</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66FC003" w14:textId="77777777" w:rsidR="005D07A6" w:rsidRDefault="00F42774">
            <w:pPr>
              <w:pStyle w:val="TA1"/>
              <w:jc w:val="right"/>
              <w:rPr>
                <w:rFonts w:eastAsiaTheme="minorEastAsia"/>
              </w:rPr>
            </w:pPr>
            <w:r>
              <w:t>7 300,00</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8262FB2" w14:textId="77777777" w:rsidR="005D07A6" w:rsidRDefault="00F42774">
            <w:pPr>
              <w:pStyle w:val="TA1"/>
              <w:jc w:val="right"/>
              <w:rPr>
                <w:rFonts w:eastAsiaTheme="minorEastAsia"/>
              </w:rPr>
            </w:pPr>
            <w:r>
              <w:t>27,6510</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C009C34" w14:textId="77777777" w:rsidR="005D07A6" w:rsidRDefault="00F42774">
            <w:pPr>
              <w:pStyle w:val="TA1"/>
              <w:jc w:val="right"/>
              <w:rPr>
                <w:rFonts w:eastAsiaTheme="minorEastAsia"/>
              </w:rPr>
            </w:pPr>
            <w:r>
              <w:t>201 852,45</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E7536E1" w14:textId="77777777" w:rsidR="005D07A6" w:rsidRDefault="00F42774">
            <w:pPr>
              <w:pStyle w:val="TA1"/>
              <w:jc w:val="right"/>
              <w:rPr>
                <w:rFonts w:eastAsiaTheme="minorEastAsia"/>
              </w:rPr>
            </w:pPr>
            <w:r>
              <w:t>2 750,00</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1C73439" w14:textId="77777777" w:rsidR="005D07A6" w:rsidRDefault="00F42774">
            <w:pPr>
              <w:pStyle w:val="TA1"/>
              <w:jc w:val="right"/>
              <w:rPr>
                <w:rFonts w:eastAsiaTheme="minorEastAsia"/>
              </w:rPr>
            </w:pPr>
            <w:r>
              <w:t>82,8269</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22B4A6C" w14:textId="77777777" w:rsidR="005D07A6" w:rsidRDefault="00F42774">
            <w:pPr>
              <w:pStyle w:val="TA1"/>
              <w:jc w:val="right"/>
              <w:rPr>
                <w:rFonts w:eastAsiaTheme="minorEastAsia"/>
              </w:rPr>
            </w:pPr>
            <w:r>
              <w:t>227 774,07</w:t>
            </w:r>
          </w:p>
        </w:tc>
      </w:tr>
      <w:tr w:rsidR="005D07A6" w14:paraId="13CEEFED" w14:textId="77777777">
        <w:tc>
          <w:tcPr>
            <w:tcW w:w="1335" w:type="dxa"/>
            <w:tcBorders>
              <w:top w:val="nil"/>
              <w:left w:val="single" w:sz="4" w:space="0" w:color="auto"/>
              <w:bottom w:val="nil"/>
              <w:right w:val="single" w:sz="4" w:space="0" w:color="auto"/>
            </w:tcBorders>
            <w:tcMar>
              <w:top w:w="0" w:type="dxa"/>
              <w:left w:w="2" w:type="dxa"/>
              <w:bottom w:w="0" w:type="dxa"/>
              <w:right w:w="2" w:type="dxa"/>
            </w:tcMar>
            <w:hideMark/>
          </w:tcPr>
          <w:p w14:paraId="4FB43610" w14:textId="77777777" w:rsidR="005D07A6" w:rsidRDefault="00F42774">
            <w:pPr>
              <w:pStyle w:val="TA1"/>
              <w:rPr>
                <w:rFonts w:eastAsiaTheme="minorEastAsia"/>
              </w:rPr>
            </w:pPr>
            <w:r>
              <w:t>Centre administration</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4F8ADB67" w14:textId="77777777" w:rsidR="005D07A6" w:rsidRDefault="00F42774">
            <w:pPr>
              <w:pStyle w:val="TA1"/>
              <w:jc w:val="right"/>
              <w:rPr>
                <w:rFonts w:eastAsiaTheme="minorEastAsia"/>
              </w:rPr>
            </w:pPr>
            <w:r>
              <w:t>201 852,45</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1D0FE539" w14:textId="77777777" w:rsidR="005D07A6" w:rsidRDefault="00F42774">
            <w:pPr>
              <w:pStyle w:val="TA1"/>
              <w:jc w:val="right"/>
              <w:rPr>
                <w:rFonts w:eastAsiaTheme="minorEastAsia"/>
              </w:rPr>
            </w:pPr>
            <w:r>
              <w:t>14,5475 %</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5D97747" w14:textId="77777777" w:rsidR="005D07A6" w:rsidRDefault="00F42774">
            <w:pPr>
              <w:pStyle w:val="TA1"/>
              <w:jc w:val="right"/>
              <w:rPr>
                <w:rFonts w:eastAsiaTheme="minorEastAsia"/>
              </w:rPr>
            </w:pPr>
            <w:r>
              <w:t>29 364,52</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02C1A1C8" w14:textId="77777777" w:rsidR="005D07A6" w:rsidRDefault="00F42774">
            <w:pPr>
              <w:pStyle w:val="TA1"/>
              <w:jc w:val="right"/>
              <w:rPr>
                <w:rFonts w:eastAsiaTheme="minorEastAsia"/>
              </w:rPr>
            </w:pPr>
            <w:r>
              <w:t>227 774,07</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596837F7" w14:textId="77777777" w:rsidR="005D07A6" w:rsidRDefault="00F42774">
            <w:pPr>
              <w:pStyle w:val="TA1"/>
              <w:jc w:val="right"/>
              <w:rPr>
                <w:rFonts w:eastAsiaTheme="minorEastAsia"/>
              </w:rPr>
            </w:pPr>
            <w:r>
              <w:t>14,5475 %</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E37F56C" w14:textId="77777777" w:rsidR="005D07A6" w:rsidRDefault="00F42774">
            <w:pPr>
              <w:pStyle w:val="TA1"/>
              <w:jc w:val="right"/>
              <w:rPr>
                <w:rFonts w:eastAsiaTheme="minorEastAsia"/>
              </w:rPr>
            </w:pPr>
            <w:r>
              <w:t>33 135,48</w:t>
            </w:r>
          </w:p>
        </w:tc>
      </w:tr>
      <w:tr w:rsidR="005D07A6" w14:paraId="2AB5DAEF" w14:textId="77777777">
        <w:tc>
          <w:tcPr>
            <w:tcW w:w="1335" w:type="dxa"/>
            <w:tcBorders>
              <w:top w:val="nil"/>
              <w:left w:val="single" w:sz="4" w:space="0" w:color="auto"/>
              <w:bottom w:val="nil"/>
              <w:right w:val="single" w:sz="4" w:space="0" w:color="auto"/>
            </w:tcBorders>
            <w:tcMar>
              <w:top w:w="0" w:type="dxa"/>
              <w:left w:w="2" w:type="dxa"/>
              <w:bottom w:w="0" w:type="dxa"/>
              <w:right w:w="2" w:type="dxa"/>
            </w:tcMar>
            <w:hideMark/>
          </w:tcPr>
          <w:p w14:paraId="04D719B6" w14:textId="77777777" w:rsidR="005D07A6" w:rsidRDefault="00F42774">
            <w:pPr>
              <w:pStyle w:val="TA1"/>
              <w:rPr>
                <w:rFonts w:eastAsiaTheme="minorEastAsia"/>
              </w:rPr>
            </w:pPr>
            <w:r>
              <w:t>(1) Coût de revient</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4B0220F3" w14:textId="77777777" w:rsidR="005D07A6" w:rsidRDefault="00F42774">
            <w:pPr>
              <w:pStyle w:val="TA1"/>
              <w:jc w:val="right"/>
              <w:rPr>
                <w:rFonts w:eastAsiaTheme="minorEastAsia"/>
              </w:rPr>
            </w:pPr>
            <w:r>
              <w:t>7 300,00</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2BB6EF35" w14:textId="77777777" w:rsidR="005D07A6" w:rsidRDefault="00F42774">
            <w:pPr>
              <w:pStyle w:val="TA1"/>
              <w:jc w:val="right"/>
              <w:rPr>
                <w:rFonts w:eastAsiaTheme="minorEastAsia"/>
              </w:rPr>
            </w:pPr>
            <w:r>
              <w:t>31,6736</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403916F" w14:textId="77777777" w:rsidR="005D07A6" w:rsidRDefault="00F42774">
            <w:pPr>
              <w:pStyle w:val="TA1"/>
              <w:jc w:val="right"/>
              <w:rPr>
                <w:rFonts w:eastAsiaTheme="minorEastAsia"/>
              </w:rPr>
            </w:pPr>
            <w:r>
              <w:t>231 216,98</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37EF063F" w14:textId="77777777" w:rsidR="005D07A6" w:rsidRDefault="00F42774">
            <w:pPr>
              <w:pStyle w:val="TA1"/>
              <w:jc w:val="right"/>
              <w:rPr>
                <w:rFonts w:eastAsiaTheme="minorEastAsia"/>
              </w:rPr>
            </w:pPr>
            <w:r>
              <w:t>2 750,00</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67CF7E32" w14:textId="77777777" w:rsidR="005D07A6" w:rsidRDefault="00F42774">
            <w:pPr>
              <w:pStyle w:val="TA1"/>
              <w:jc w:val="right"/>
              <w:rPr>
                <w:rFonts w:eastAsiaTheme="minorEastAsia"/>
              </w:rPr>
            </w:pPr>
            <w:r>
              <w:t>94,8762</w:t>
            </w:r>
          </w:p>
        </w:tc>
        <w:tc>
          <w:tcPr>
            <w:tcW w:w="7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E291FCE" w14:textId="77777777" w:rsidR="005D07A6" w:rsidRDefault="00F42774">
            <w:pPr>
              <w:pStyle w:val="TA1"/>
              <w:jc w:val="right"/>
              <w:rPr>
                <w:rFonts w:eastAsiaTheme="minorEastAsia"/>
              </w:rPr>
            </w:pPr>
            <w:r>
              <w:t>260 909,55</w:t>
            </w:r>
          </w:p>
        </w:tc>
      </w:tr>
      <w:tr w:rsidR="005D07A6" w14:paraId="3268BE93" w14:textId="77777777">
        <w:tc>
          <w:tcPr>
            <w:tcW w:w="1335" w:type="dxa"/>
            <w:tcBorders>
              <w:top w:val="nil"/>
              <w:left w:val="single" w:sz="4" w:space="0" w:color="auto"/>
              <w:bottom w:val="nil"/>
              <w:right w:val="single" w:sz="4" w:space="0" w:color="auto"/>
            </w:tcBorders>
            <w:tcMar>
              <w:top w:w="0" w:type="dxa"/>
              <w:left w:w="2" w:type="dxa"/>
              <w:bottom w:w="0" w:type="dxa"/>
              <w:right w:w="2" w:type="dxa"/>
            </w:tcMar>
            <w:hideMark/>
          </w:tcPr>
          <w:p w14:paraId="1D9CC60A" w14:textId="77777777" w:rsidR="005D07A6" w:rsidRDefault="00F42774">
            <w:pPr>
              <w:pStyle w:val="TA1"/>
              <w:rPr>
                <w:rFonts w:eastAsiaTheme="minorEastAsia"/>
              </w:rPr>
            </w:pPr>
            <w:r>
              <w:t>(2) Chiffre d’affaires</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22661E7D" w14:textId="77777777" w:rsidR="005D07A6" w:rsidRDefault="00F42774">
            <w:pPr>
              <w:pStyle w:val="TA1"/>
              <w:jc w:val="right"/>
              <w:rPr>
                <w:rFonts w:eastAsiaTheme="minorEastAsia"/>
              </w:rPr>
            </w:pPr>
            <w:r>
              <w:t>7 300,00</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42AC655F" w14:textId="77777777" w:rsidR="005D07A6" w:rsidRDefault="00F42774">
            <w:pPr>
              <w:pStyle w:val="TA1"/>
              <w:jc w:val="right"/>
              <w:rPr>
                <w:rFonts w:eastAsiaTheme="minorEastAsia"/>
              </w:rPr>
            </w:pPr>
            <w:r>
              <w:t>34,0000</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AB9BDAF" w14:textId="77777777" w:rsidR="005D07A6" w:rsidRDefault="00F42774">
            <w:pPr>
              <w:pStyle w:val="TA1"/>
              <w:jc w:val="right"/>
              <w:rPr>
                <w:rFonts w:eastAsiaTheme="minorEastAsia"/>
              </w:rPr>
            </w:pPr>
            <w:r>
              <w:t>248 200,00</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72AECA0C" w14:textId="77777777" w:rsidR="005D07A6" w:rsidRDefault="00F42774">
            <w:pPr>
              <w:pStyle w:val="TA1"/>
              <w:jc w:val="right"/>
              <w:rPr>
                <w:rFonts w:eastAsiaTheme="minorEastAsia"/>
              </w:rPr>
            </w:pPr>
            <w:r>
              <w:t>2 750,00</w:t>
            </w:r>
          </w:p>
        </w:tc>
        <w:tc>
          <w:tcPr>
            <w:tcW w:w="705" w:type="dxa"/>
            <w:tcBorders>
              <w:top w:val="nil"/>
              <w:left w:val="single" w:sz="4" w:space="0" w:color="auto"/>
              <w:bottom w:val="nil"/>
              <w:right w:val="single" w:sz="4" w:space="0" w:color="auto"/>
            </w:tcBorders>
            <w:tcMar>
              <w:top w:w="0" w:type="dxa"/>
              <w:left w:w="2" w:type="dxa"/>
              <w:bottom w:w="0" w:type="dxa"/>
              <w:right w:w="2" w:type="dxa"/>
            </w:tcMar>
            <w:hideMark/>
          </w:tcPr>
          <w:p w14:paraId="368A28A5" w14:textId="77777777" w:rsidR="005D07A6" w:rsidRDefault="00F42774">
            <w:pPr>
              <w:pStyle w:val="TA1"/>
              <w:jc w:val="right"/>
              <w:rPr>
                <w:rFonts w:eastAsiaTheme="minorEastAsia"/>
              </w:rPr>
            </w:pPr>
            <w:r>
              <w:t>122,0000</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D460633" w14:textId="77777777" w:rsidR="005D07A6" w:rsidRDefault="00F42774">
            <w:pPr>
              <w:pStyle w:val="TA1"/>
              <w:jc w:val="right"/>
              <w:rPr>
                <w:rFonts w:eastAsiaTheme="minorEastAsia"/>
              </w:rPr>
            </w:pPr>
            <w:r>
              <w:t>335 500,00</w:t>
            </w:r>
          </w:p>
        </w:tc>
      </w:tr>
      <w:tr w:rsidR="005D07A6" w14:paraId="09167C14" w14:textId="77777777">
        <w:tc>
          <w:tcPr>
            <w:tcW w:w="133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763E48A" w14:textId="77777777" w:rsidR="005D07A6" w:rsidRDefault="00F42774">
            <w:pPr>
              <w:pStyle w:val="TA1"/>
              <w:rPr>
                <w:rFonts w:eastAsiaTheme="minorEastAsia"/>
              </w:rPr>
            </w:pPr>
            <w:r>
              <w:lastRenderedPageBreak/>
              <w:t>(2) – (1) Résultat analytique</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E438BDA" w14:textId="77777777" w:rsidR="005D07A6" w:rsidRDefault="00F42774">
            <w:pPr>
              <w:pStyle w:val="TA1"/>
              <w:jc w:val="right"/>
              <w:rPr>
                <w:rFonts w:eastAsiaTheme="minorEastAsia"/>
              </w:rPr>
            </w:pPr>
            <w:r>
              <w:t>7 300,00</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058FEA5" w14:textId="77777777" w:rsidR="005D07A6" w:rsidRDefault="00F42774">
            <w:pPr>
              <w:pStyle w:val="TA1"/>
              <w:jc w:val="right"/>
              <w:rPr>
                <w:rFonts w:eastAsiaTheme="minorEastAsia"/>
              </w:rPr>
            </w:pPr>
            <w:r>
              <w:t>2,3264</w:t>
            </w:r>
          </w:p>
        </w:tc>
        <w:tc>
          <w:tcPr>
            <w:tcW w:w="7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12DA841" w14:textId="77777777" w:rsidR="005D07A6" w:rsidRDefault="00F42774">
            <w:pPr>
              <w:pStyle w:val="TA1"/>
              <w:jc w:val="right"/>
              <w:rPr>
                <w:rFonts w:eastAsiaTheme="minorEastAsia"/>
              </w:rPr>
            </w:pPr>
            <w:r>
              <w:t>16 983,02</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F9C94D1" w14:textId="77777777" w:rsidR="005D07A6" w:rsidRDefault="00F42774">
            <w:pPr>
              <w:pStyle w:val="TA1"/>
              <w:jc w:val="right"/>
              <w:rPr>
                <w:rFonts w:eastAsiaTheme="minorEastAsia"/>
              </w:rPr>
            </w:pPr>
            <w:r>
              <w:t>2 750,00</w:t>
            </w:r>
          </w:p>
        </w:tc>
        <w:tc>
          <w:tcPr>
            <w:tcW w:w="7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505C92E" w14:textId="77777777" w:rsidR="005D07A6" w:rsidRDefault="00F42774">
            <w:pPr>
              <w:pStyle w:val="TA1"/>
              <w:jc w:val="right"/>
              <w:rPr>
                <w:rFonts w:eastAsiaTheme="minorEastAsia"/>
              </w:rPr>
            </w:pPr>
            <w:r>
              <w:t>27,1238</w:t>
            </w:r>
          </w:p>
        </w:tc>
        <w:tc>
          <w:tcPr>
            <w:tcW w:w="7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A03A67A" w14:textId="77777777" w:rsidR="005D07A6" w:rsidRDefault="00F42774">
            <w:pPr>
              <w:pStyle w:val="TA1"/>
              <w:jc w:val="right"/>
              <w:rPr>
                <w:rFonts w:eastAsiaTheme="minorEastAsia"/>
              </w:rPr>
            </w:pPr>
            <w:r>
              <w:t>74 590,45</w:t>
            </w:r>
          </w:p>
        </w:tc>
      </w:tr>
    </w:tbl>
    <w:p w14:paraId="3EA2B201" w14:textId="77777777" w:rsidR="005D07A6" w:rsidRDefault="00F42774">
      <w:pPr>
        <w:pStyle w:val="finfilet"/>
        <w:rPr>
          <w:rFonts w:eastAsiaTheme="minorEastAsia"/>
        </w:rPr>
      </w:pPr>
      <w:r>
        <w:t>Fin Corrige</w:t>
      </w:r>
    </w:p>
    <w:p w14:paraId="0293A6AF" w14:textId="77777777" w:rsidR="005D07A6" w:rsidRDefault="00F42774">
      <w:pPr>
        <w:pStyle w:val="finfiletr"/>
      </w:pPr>
      <w:r>
        <w:t>Fin Exercice</w:t>
      </w:r>
    </w:p>
    <w:p w14:paraId="756E44A3" w14:textId="77777777" w:rsidR="005D07A6" w:rsidRDefault="00F42774">
      <w:pPr>
        <w:pStyle w:val="debutfiletr"/>
      </w:pPr>
      <w:r>
        <w:t>Exercice_n-2</w:t>
      </w:r>
    </w:p>
    <w:p w14:paraId="224C22D8" w14:textId="77777777" w:rsidR="005D07A6" w:rsidRDefault="00F42774">
      <w:pPr>
        <w:pStyle w:val="LibelleRubrique"/>
      </w:pPr>
      <w:r>
        <w:t xml:space="preserve">Exercice </w:t>
      </w:r>
    </w:p>
    <w:p w14:paraId="5DE18C2A" w14:textId="77777777" w:rsidR="005D07A6" w:rsidRDefault="00F42774">
      <w:pPr>
        <w:pStyle w:val="TitreRubrique"/>
      </w:pPr>
      <w:r>
        <w:t>Réflexion sur la comptabilité de gestion</w:t>
      </w:r>
    </w:p>
    <w:p w14:paraId="30CAFCFA" w14:textId="77777777" w:rsidR="005D07A6" w:rsidRDefault="00F42774">
      <w:pPr>
        <w:pStyle w:val="debutfilet"/>
      </w:pPr>
      <w:r>
        <w:t>Enonce</w:t>
      </w:r>
    </w:p>
    <w:p w14:paraId="7657D4DD" w14:textId="77777777" w:rsidR="005D07A6" w:rsidRDefault="00F42774">
      <w:pPr>
        <w:pStyle w:val="LibelleRubrique"/>
      </w:pPr>
      <w:r>
        <w:t>Énoncé</w:t>
      </w:r>
    </w:p>
    <w:p w14:paraId="228E1E85" w14:textId="77777777" w:rsidR="005D07A6" w:rsidRDefault="00F42774">
      <w:pPr>
        <w:pStyle w:val="CT"/>
      </w:pPr>
      <w:r>
        <w:t>La Société méridionale de menuiserie s’est beaucoup développée depuis quelques années sous l’impulsion de son nouveau dirigeant, Paul Dubosque, et emploie maintenant 700 personnes.</w:t>
      </w:r>
    </w:p>
    <w:p w14:paraId="41358E16" w14:textId="77777777" w:rsidR="005D07A6" w:rsidRDefault="00F42774">
      <w:pPr>
        <w:pStyle w:val="CT"/>
      </w:pPr>
      <w:r>
        <w:t>Au départ, le fondateur, Jean Dubosque, le grand-père de Paul, n’était qu’un modeste artisan, fabricant à la demande de buffets et d’armoires. Dans les années 1970, son fils, Pierre, le père de Paul, se lança dans une production industrielle à plus grande échelle, en travaillant en tant que sous-traitant pour les grandes marques de meubles standardisés vendus en kit dans les grandes surfaces spécialisées (armoires et bibliothèques notamment). Paul, s’apercevant que la valeur ajoutée se réalisait plutôt en aval de la filière, chercha à se diversifier dans la fabrication et surtout l’installation de cuisines intégrées dans lesquelles les ménages investissent actuellement, ainsi que dans une activité d’aménagement de bureaux et de magasins.</w:t>
      </w:r>
    </w:p>
    <w:p w14:paraId="3E98BD8E" w14:textId="77777777" w:rsidR="005D07A6" w:rsidRDefault="00F42774">
      <w:pPr>
        <w:pStyle w:val="CT"/>
      </w:pPr>
      <w:r>
        <w:t>Actuellement, le site historique initial de Marseille existe toujours. Il a été beaucoup agrandi dans les années 1980. On y fabrique surtout les « façades » des éléments de cuisine. Mais un autre établissement de production, beaucoup plus spacieux et fonctionnel, a été ouvert en zone industrielle dans la région de Nîmes. Quatre « cuisineries » ont été ouvertes : deux à Marseille, une à Aix et une autre à Toulon. Enfin, l’activité « aménagement de magasins », qui est basée à Marseille, a ouvert une antenne à Lyon.</w:t>
      </w:r>
    </w:p>
    <w:p w14:paraId="04ACC915" w14:textId="77777777" w:rsidR="005D07A6" w:rsidRDefault="00F42774">
      <w:pPr>
        <w:pStyle w:val="CT"/>
      </w:pPr>
      <w:r>
        <w:t>Paul Dubosque continue à superviser l’ensemble des activités. Il parcourt 40 000 kilomètres par an au volant de sa Volvo ! L’entreprise semble très saine, mais la rentabilité globale est faible : le résultat net ne représente pas plus de 1 % du chiffre d’affaires et baisse très lentement mais très régulièrement depuis 3 ans.</w:t>
      </w:r>
    </w:p>
    <w:p w14:paraId="73AACB98" w14:textId="77777777" w:rsidR="005D07A6" w:rsidRDefault="00F42774">
      <w:pPr>
        <w:pStyle w:val="CT"/>
      </w:pPr>
      <w:r>
        <w:t>Une comptabilité de gestion a été mise en place récemment, mais personne n’est d’accord sur les répartitions de charges. Les états semblent néanmoins montrer que les bénéfices de l’activité « cuisinerie » compensent des pertes dans les autres secteurs. Il est difficile de localiser les possibilités d’amélioration. Par exemple, au niveau de l’aménagement des magasins, les chargés d’affaires établissent les plans et font fabriquer les éléments à Marseille. Les éléments sont prédécoupés et ensuite assemblés sur place, dans le magasin à aménager. Le coût de production de ces éléments semble trop élevé et pèse sur les marges. Il y a souvent des conflits entre les différents responsables pour savoir qui devrait faire des efforts.</w:t>
      </w:r>
    </w:p>
    <w:p w14:paraId="7A51836C" w14:textId="77777777" w:rsidR="005D07A6" w:rsidRDefault="00F42774">
      <w:pPr>
        <w:pStyle w:val="CT"/>
      </w:pPr>
      <w:r>
        <w:t>La concurrence se fait plus âpre depuis quelques années du fait de l’arrivée des concurrents Italiens, et maintenant d’entreprises slovènes, qui viennent réaliser en sous-traitance des chantiers en déplacement à des prix cassés. Il devient vital de réaliser des gains de productivité et de « mettre sous tension », de dynamiser et de mieux motiver les différentes équipes.</w:t>
      </w:r>
    </w:p>
    <w:p w14:paraId="242BB428" w14:textId="77777777" w:rsidR="005D07A6" w:rsidRDefault="00F42774">
      <w:pPr>
        <w:pStyle w:val="CT"/>
      </w:pPr>
      <w:r>
        <w:t>Par ailleurs, Paul Dubosque approche de l’âge de la retraite et ses deux enfants n’ont pas du tout l’intention de continuer : sa fille est installée comme médecin à Montpellier et son fils est au Conservatoire de musique de Paris. Il lui faudra trouver un repreneur.</w:t>
      </w:r>
    </w:p>
    <w:p w14:paraId="3BAB27FE" w14:textId="77777777" w:rsidR="005D07A6" w:rsidRDefault="00F42774">
      <w:pPr>
        <w:pStyle w:val="TexteEnonceQuestion"/>
      </w:pPr>
      <w:r>
        <w:t>Que pouvez-vous conseiller à Paul Dubosque ?</w:t>
      </w:r>
    </w:p>
    <w:p w14:paraId="3029FD5D" w14:textId="77777777" w:rsidR="005D07A6" w:rsidRDefault="00F42774">
      <w:pPr>
        <w:pStyle w:val="finfilet"/>
      </w:pPr>
      <w:r>
        <w:t>Fin Enonce</w:t>
      </w:r>
    </w:p>
    <w:p w14:paraId="55E99434" w14:textId="77777777" w:rsidR="005D07A6" w:rsidRDefault="00F42774">
      <w:pPr>
        <w:pStyle w:val="debutfilet"/>
      </w:pPr>
      <w:r>
        <w:t>Corrige</w:t>
      </w:r>
    </w:p>
    <w:p w14:paraId="7CE76A4D" w14:textId="77777777" w:rsidR="005D07A6" w:rsidRDefault="00F42774">
      <w:pPr>
        <w:pStyle w:val="LibelleRubrique"/>
      </w:pPr>
      <w:r>
        <w:t>Corrigé</w:t>
      </w:r>
    </w:p>
    <w:p w14:paraId="54E5FCE3" w14:textId="77777777" w:rsidR="005D07A6" w:rsidRDefault="00F42774">
      <w:pPr>
        <w:pStyle w:val="CTEspDessous"/>
      </w:pPr>
      <w:r>
        <w:lastRenderedPageBreak/>
        <w:t>L’entreprise est déjà presque une grande entreprise et son système d’information et de management est en retard de phase. Les différents responsables peuvent se renvoyer la balle et le patron ne peut plus tout résoudre seul.</w:t>
      </w:r>
    </w:p>
    <w:p w14:paraId="1623867B" w14:textId="77777777" w:rsidR="005D07A6" w:rsidRDefault="00F42774">
      <w:pPr>
        <w:pStyle w:val="CTEspDessous"/>
      </w:pPr>
      <w:r>
        <w:t>Il est temps de déléguer davantage de responsabilités à des managers qui seront jugés sur leurs résultats, ce qui représente une certaine révolution mentale pour le chef d’entreprise. On peut envisager par exemple de filialiser certaines activités, comme la « cuisinerie ». On y verra plus clair dans les comptes, et on pourra mettre en jeu des procédures de « bouclage » plus efficaces pour améliorer les performances.</w:t>
      </w:r>
    </w:p>
    <w:p w14:paraId="6BEAD361" w14:textId="77777777" w:rsidR="005D07A6" w:rsidRDefault="00F42774">
      <w:pPr>
        <w:pStyle w:val="finfilet"/>
      </w:pPr>
      <w:r>
        <w:t>Fin Corrige</w:t>
      </w:r>
    </w:p>
    <w:p w14:paraId="2ABC2102" w14:textId="77777777" w:rsidR="005D07A6" w:rsidRDefault="00F42774">
      <w:pPr>
        <w:pStyle w:val="finfiletr"/>
      </w:pPr>
      <w:r>
        <w:t>Fin Exercice</w:t>
      </w:r>
    </w:p>
    <w:p w14:paraId="0E4B0B71" w14:textId="77777777" w:rsidR="005D07A6" w:rsidRDefault="00F42774">
      <w:pPr>
        <w:pStyle w:val="debutfiletr"/>
      </w:pPr>
      <w:r>
        <w:t>Exercice_n-3</w:t>
      </w:r>
    </w:p>
    <w:p w14:paraId="7002ACFD" w14:textId="77777777" w:rsidR="005D07A6" w:rsidRDefault="00F42774">
      <w:pPr>
        <w:pStyle w:val="LibelleRubrique"/>
      </w:pPr>
      <w:r>
        <w:t xml:space="preserve">Exercice </w:t>
      </w:r>
    </w:p>
    <w:p w14:paraId="31B355EE" w14:textId="77777777" w:rsidR="005D07A6" w:rsidRDefault="00F42774">
      <w:pPr>
        <w:pStyle w:val="TitreRubrique"/>
      </w:pPr>
      <w:r>
        <w:t>Coût de revient, résultat analytique, concordance</w:t>
      </w:r>
    </w:p>
    <w:p w14:paraId="47F45437" w14:textId="77777777" w:rsidR="005D07A6" w:rsidRDefault="00F42774">
      <w:pPr>
        <w:pStyle w:val="debutfilet"/>
      </w:pPr>
      <w:r>
        <w:t>Enonce</w:t>
      </w:r>
    </w:p>
    <w:p w14:paraId="034FAA23" w14:textId="77777777" w:rsidR="005D07A6" w:rsidRDefault="00F42774">
      <w:pPr>
        <w:pStyle w:val="LibelleRubrique"/>
      </w:pPr>
      <w:r>
        <w:t>Énoncé</w:t>
      </w:r>
    </w:p>
    <w:p w14:paraId="223EA043" w14:textId="77777777" w:rsidR="005D07A6" w:rsidRDefault="00F42774">
      <w:pPr>
        <w:pStyle w:val="CT"/>
      </w:pPr>
      <w:r>
        <w:t>L’entreprise SONOR fabrique deux types d’enceintes acoustiques ayant le même aspect extérieur (boîtier, ébénisterie et tissu acoustique identiques) :</w:t>
      </w:r>
    </w:p>
    <w:p w14:paraId="5796EFE0" w14:textId="77777777" w:rsidR="005D07A6" w:rsidRDefault="00F42774">
      <w:pPr>
        <w:pStyle w:val="ET"/>
      </w:pPr>
      <w:r>
        <w:t>des enceintes classiques C composées d’un haut-parleur aigu, d’un haut-parleur grave et d’un filtre A ;</w:t>
      </w:r>
    </w:p>
    <w:p w14:paraId="547D446F" w14:textId="77777777" w:rsidR="005D07A6" w:rsidRDefault="00F42774">
      <w:pPr>
        <w:pStyle w:val="ET"/>
      </w:pPr>
      <w:r>
        <w:t>des enceintes haute-fidélité HF composées d’un haut-parleur aigu, d’un haut-parleur grave, d’un haut-parleur médium et d’un filtre B.</w:t>
      </w:r>
    </w:p>
    <w:p w14:paraId="64B72AEB" w14:textId="77777777" w:rsidR="005D07A6" w:rsidRDefault="00F42774">
      <w:pPr>
        <w:pStyle w:val="CT"/>
      </w:pPr>
      <w:r>
        <w:t>Tous les composants sont achetés à l’extérieur sauf le boîtier et le haut-parleur médium que l’entreprise SONOR fabrique elle-même.</w:t>
      </w:r>
    </w:p>
    <w:p w14:paraId="61F655FB" w14:textId="77777777" w:rsidR="005D07A6" w:rsidRDefault="00F42774">
      <w:pPr>
        <w:pStyle w:val="TNiv1"/>
      </w:pPr>
      <w:r>
        <w:t>Centres d’analyse retenus</w:t>
      </w:r>
    </w:p>
    <w:p w14:paraId="424D6B81" w14:textId="77777777" w:rsidR="005D07A6" w:rsidRDefault="00F42774">
      <w:pPr>
        <w:pStyle w:val="ET"/>
      </w:pPr>
      <w:r>
        <w:t xml:space="preserve">Centres auxiliaires (voir </w:t>
      </w:r>
      <w:r>
        <w:rPr>
          <w:rStyle w:val="renvoi"/>
        </w:rPr>
        <w:t>annexe</w:t>
      </w:r>
      <w:r>
        <w:t xml:space="preserve"> ci-après pour les clés de répartition) :</w:t>
      </w:r>
    </w:p>
    <w:p w14:paraId="2F220E3A" w14:textId="77777777" w:rsidR="005D07A6" w:rsidRDefault="00F42774">
      <w:pPr>
        <w:pStyle w:val="SEP"/>
      </w:pPr>
      <w:r>
        <w:t>administration ;</w:t>
      </w:r>
    </w:p>
    <w:p w14:paraId="4888A328" w14:textId="77777777" w:rsidR="005D07A6" w:rsidRDefault="00F42774">
      <w:pPr>
        <w:pStyle w:val="SEP"/>
      </w:pPr>
      <w:r>
        <w:t>tests pour le contrôle des différents composants ;</w:t>
      </w:r>
    </w:p>
    <w:p w14:paraId="3CE81870" w14:textId="77777777" w:rsidR="005D07A6" w:rsidRDefault="00F42774">
      <w:pPr>
        <w:pStyle w:val="SEP"/>
      </w:pPr>
      <w:r>
        <w:t>essais pour le contrôle des produits fabriqués et la recherche.</w:t>
      </w:r>
    </w:p>
    <w:p w14:paraId="2EFE5189" w14:textId="77777777" w:rsidR="005D07A6" w:rsidRDefault="00F42774">
      <w:pPr>
        <w:pStyle w:val="ET"/>
      </w:pPr>
      <w:r>
        <w:t>Centres principaux :</w:t>
      </w:r>
    </w:p>
    <w:p w14:paraId="6D8ACE3B" w14:textId="77777777" w:rsidR="005D07A6" w:rsidRDefault="00F42774">
      <w:pPr>
        <w:pStyle w:val="SEP"/>
      </w:pPr>
      <w:r>
        <w:t>approvisionnement ;</w:t>
      </w:r>
    </w:p>
    <w:p w14:paraId="0116A8FF" w14:textId="77777777" w:rsidR="005D07A6" w:rsidRDefault="00F42774">
      <w:pPr>
        <w:pStyle w:val="SEP"/>
      </w:pPr>
      <w:r>
        <w:t>préparation pour le traitement que nécessitent les haut-parleurs aigus et graves achetés à l’extérieur. Ce traitement s’effectue dès réception et le stockage ne se fait qu’après traitement ;</w:t>
      </w:r>
    </w:p>
    <w:p w14:paraId="5D5DDFFA" w14:textId="77777777" w:rsidR="005D07A6" w:rsidRDefault="00F42774">
      <w:pPr>
        <w:pStyle w:val="SEP"/>
      </w:pPr>
      <w:r>
        <w:t>fabrication pour les haut-parleurs médium. On utilise pour cela des carcasses et des cônes ;</w:t>
      </w:r>
    </w:p>
    <w:p w14:paraId="75667381" w14:textId="77777777" w:rsidR="005D07A6" w:rsidRDefault="00F42774">
      <w:pPr>
        <w:pStyle w:val="SEP"/>
      </w:pPr>
      <w:r>
        <w:t>menuiserie pour la fabrication des boîtiers à partir d’agglomérés et de tissu acoustique. Les boîtiers ne sont pas stockés et passent directement à l’atelier de montage ;</w:t>
      </w:r>
    </w:p>
    <w:p w14:paraId="766A0090" w14:textId="77777777" w:rsidR="005D07A6" w:rsidRDefault="00F42774">
      <w:pPr>
        <w:pStyle w:val="SEP"/>
      </w:pPr>
      <w:r>
        <w:t>montage pour assembler les différents éléments et réaliser le câblage ;</w:t>
      </w:r>
    </w:p>
    <w:p w14:paraId="5BA4994F" w14:textId="77777777" w:rsidR="005D07A6" w:rsidRDefault="00F42774">
      <w:pPr>
        <w:pStyle w:val="SEP"/>
      </w:pPr>
      <w:r>
        <w:t>distribution.</w:t>
      </w:r>
    </w:p>
    <w:p w14:paraId="549A556C" w14:textId="77777777" w:rsidR="005D07A6" w:rsidRDefault="00F42774">
      <w:pPr>
        <w:pStyle w:val="TNiv1"/>
      </w:pPr>
      <w:r>
        <w:t>Renseignements pour le mois de janvier</w:t>
      </w:r>
    </w:p>
    <w:p w14:paraId="3FCBF563" w14:textId="77777777" w:rsidR="005D07A6" w:rsidRDefault="00F42774">
      <w:pPr>
        <w:pStyle w:val="TNiv2"/>
      </w:pPr>
      <w:r>
        <w:t>Stocks</w:t>
      </w:r>
    </w:p>
    <w:tbl>
      <w:tblPr>
        <w:tblW w:w="6980" w:type="dxa"/>
        <w:tblInd w:w="1701" w:type="dxa"/>
        <w:tblLook w:val="04A0" w:firstRow="1" w:lastRow="0" w:firstColumn="1" w:lastColumn="0" w:noHBand="0" w:noVBand="1"/>
      </w:tblPr>
      <w:tblGrid>
        <w:gridCol w:w="1820"/>
        <w:gridCol w:w="1720"/>
        <w:gridCol w:w="1720"/>
        <w:gridCol w:w="1720"/>
      </w:tblGrid>
      <w:tr w:rsidR="005D07A6" w14:paraId="3DBB15EE" w14:textId="77777777">
        <w:trPr>
          <w:tblHeader/>
        </w:trPr>
        <w:tc>
          <w:tcPr>
            <w:tcW w:w="1365" w:type="dxa"/>
            <w:vMerge w:val="restart"/>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E91B90D" w14:textId="77777777" w:rsidR="005D07A6" w:rsidRDefault="00F42774">
            <w:pPr>
              <w:pStyle w:val="TA1"/>
              <w:jc w:val="center"/>
              <w:rPr>
                <w:rFonts w:eastAsiaTheme="minorEastAsia"/>
              </w:rPr>
            </w:pPr>
            <w:r>
              <w:rPr>
                <w:b/>
                <w:bCs/>
              </w:rPr>
              <w:t>Matières ou produits</w:t>
            </w:r>
          </w:p>
        </w:tc>
        <w:tc>
          <w:tcPr>
            <w:tcW w:w="1290"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774D249" w14:textId="77777777" w:rsidR="005D07A6" w:rsidRDefault="00F42774">
            <w:pPr>
              <w:pStyle w:val="TA1"/>
              <w:jc w:val="center"/>
              <w:rPr>
                <w:rFonts w:eastAsiaTheme="minorEastAsia"/>
              </w:rPr>
            </w:pPr>
            <w:r>
              <w:rPr>
                <w:b/>
                <w:bCs/>
              </w:rPr>
              <w:t>Stocks au 01/01</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7B3F497" w14:textId="77777777" w:rsidR="005D07A6" w:rsidRDefault="00F42774">
            <w:pPr>
              <w:pStyle w:val="TA1"/>
              <w:jc w:val="center"/>
              <w:rPr>
                <w:rFonts w:eastAsiaTheme="minorEastAsia"/>
              </w:rPr>
            </w:pPr>
            <w:r>
              <w:rPr>
                <w:b/>
                <w:bCs/>
              </w:rPr>
              <w:t>Existants au 31/01</w:t>
            </w:r>
          </w:p>
        </w:tc>
      </w:tr>
      <w:tr w:rsidR="005D07A6" w14:paraId="6664639C" w14:textId="77777777">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451377" w14:textId="77777777" w:rsidR="005D07A6" w:rsidRDefault="005D07A6">
            <w:pPr>
              <w:rPr>
                <w:rFonts w:eastAsiaTheme="minorEastAsia"/>
              </w:rPr>
            </w:pPr>
          </w:p>
        </w:tc>
        <w:tc>
          <w:tcPr>
            <w:tcW w:w="129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E08AB6C" w14:textId="77777777" w:rsidR="005D07A6" w:rsidRDefault="00F42774">
            <w:pPr>
              <w:pStyle w:val="TA1"/>
              <w:jc w:val="center"/>
              <w:rPr>
                <w:rFonts w:eastAsiaTheme="minorEastAsia"/>
              </w:rPr>
            </w:pPr>
            <w:r>
              <w:rPr>
                <w:b/>
                <w:bCs/>
              </w:rPr>
              <w:t>Quantité</w:t>
            </w:r>
          </w:p>
        </w:tc>
        <w:tc>
          <w:tcPr>
            <w:tcW w:w="129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DA53D5A" w14:textId="77777777" w:rsidR="005D07A6" w:rsidRDefault="00F42774">
            <w:pPr>
              <w:pStyle w:val="TA1"/>
              <w:jc w:val="center"/>
              <w:rPr>
                <w:rFonts w:eastAsiaTheme="minorEastAsia"/>
              </w:rPr>
            </w:pPr>
            <w:r>
              <w:rPr>
                <w:b/>
                <w:bCs/>
              </w:rPr>
              <w:t>Valeur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2F8DEC" w14:textId="77777777" w:rsidR="005D07A6" w:rsidRDefault="005D07A6">
            <w:pPr>
              <w:rPr>
                <w:rFonts w:eastAsiaTheme="minorEastAsia"/>
              </w:rPr>
            </w:pPr>
          </w:p>
        </w:tc>
      </w:tr>
      <w:tr w:rsidR="005D07A6" w14:paraId="54D2EA47" w14:textId="77777777">
        <w:tc>
          <w:tcPr>
            <w:tcW w:w="13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44E3F73" w14:textId="77777777" w:rsidR="005D07A6" w:rsidRDefault="00F42774">
            <w:pPr>
              <w:pStyle w:val="TA1"/>
              <w:rPr>
                <w:rFonts w:eastAsiaTheme="minorEastAsia"/>
              </w:rPr>
            </w:pPr>
            <w:r>
              <w:t>HP aigus</w:t>
            </w:r>
          </w:p>
        </w:tc>
        <w:tc>
          <w:tcPr>
            <w:tcW w:w="129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8E4E835" w14:textId="77777777" w:rsidR="005D07A6" w:rsidRDefault="00F42774">
            <w:pPr>
              <w:pStyle w:val="TA1"/>
              <w:jc w:val="right"/>
              <w:rPr>
                <w:rFonts w:eastAsiaTheme="minorEastAsia"/>
              </w:rPr>
            </w:pPr>
            <w:r>
              <w:t>1 230 unités</w:t>
            </w:r>
          </w:p>
        </w:tc>
        <w:tc>
          <w:tcPr>
            <w:tcW w:w="129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0AD1365" w14:textId="77777777" w:rsidR="005D07A6" w:rsidRDefault="00F42774">
            <w:pPr>
              <w:pStyle w:val="TA1"/>
              <w:jc w:val="right"/>
              <w:rPr>
                <w:rFonts w:eastAsiaTheme="minorEastAsia"/>
              </w:rPr>
            </w:pPr>
            <w:r>
              <w:t>8 141,00 €</w:t>
            </w:r>
          </w:p>
        </w:tc>
        <w:tc>
          <w:tcPr>
            <w:tcW w:w="129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ACDD0DF" w14:textId="77777777" w:rsidR="005D07A6" w:rsidRDefault="00F42774">
            <w:pPr>
              <w:pStyle w:val="TA1"/>
              <w:jc w:val="right"/>
              <w:rPr>
                <w:rFonts w:eastAsiaTheme="minorEastAsia"/>
              </w:rPr>
            </w:pPr>
            <w:r>
              <w:t>140 unités</w:t>
            </w:r>
          </w:p>
        </w:tc>
      </w:tr>
      <w:tr w:rsidR="005D07A6" w14:paraId="2145DA12" w14:textId="77777777">
        <w:tc>
          <w:tcPr>
            <w:tcW w:w="1365" w:type="dxa"/>
            <w:tcBorders>
              <w:top w:val="nil"/>
              <w:left w:val="single" w:sz="4" w:space="0" w:color="auto"/>
              <w:bottom w:val="nil"/>
              <w:right w:val="single" w:sz="4" w:space="0" w:color="auto"/>
            </w:tcBorders>
            <w:tcMar>
              <w:top w:w="0" w:type="dxa"/>
              <w:left w:w="2" w:type="dxa"/>
              <w:bottom w:w="0" w:type="dxa"/>
              <w:right w:w="2" w:type="dxa"/>
            </w:tcMar>
            <w:hideMark/>
          </w:tcPr>
          <w:p w14:paraId="3A729BE1" w14:textId="77777777" w:rsidR="005D07A6" w:rsidRDefault="00F42774">
            <w:pPr>
              <w:pStyle w:val="TA1"/>
              <w:rPr>
                <w:rFonts w:eastAsiaTheme="minorEastAsia"/>
              </w:rPr>
            </w:pPr>
            <w:r>
              <w:t>HP graves</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59D2EAC4" w14:textId="77777777" w:rsidR="005D07A6" w:rsidRDefault="00F42774">
            <w:pPr>
              <w:pStyle w:val="TA1"/>
              <w:jc w:val="right"/>
              <w:rPr>
                <w:rFonts w:eastAsiaTheme="minorEastAsia"/>
              </w:rPr>
            </w:pPr>
            <w:r>
              <w:t>1 720 unités</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0B854DDA" w14:textId="77777777" w:rsidR="005D07A6" w:rsidRDefault="00F42774">
            <w:pPr>
              <w:pStyle w:val="TA1"/>
              <w:jc w:val="right"/>
              <w:rPr>
                <w:rFonts w:eastAsiaTheme="minorEastAsia"/>
              </w:rPr>
            </w:pPr>
            <w:r>
              <w:t>30 629,50 €</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14086636" w14:textId="77777777" w:rsidR="005D07A6" w:rsidRDefault="00F42774">
            <w:pPr>
              <w:pStyle w:val="TA1"/>
              <w:jc w:val="right"/>
              <w:rPr>
                <w:rFonts w:eastAsiaTheme="minorEastAsia"/>
              </w:rPr>
            </w:pPr>
            <w:r>
              <w:t>228 unités</w:t>
            </w:r>
          </w:p>
        </w:tc>
      </w:tr>
      <w:tr w:rsidR="005D07A6" w14:paraId="49F4F602" w14:textId="77777777">
        <w:tc>
          <w:tcPr>
            <w:tcW w:w="1365" w:type="dxa"/>
            <w:tcBorders>
              <w:top w:val="nil"/>
              <w:left w:val="single" w:sz="4" w:space="0" w:color="auto"/>
              <w:bottom w:val="nil"/>
              <w:right w:val="single" w:sz="4" w:space="0" w:color="auto"/>
            </w:tcBorders>
            <w:tcMar>
              <w:top w:w="0" w:type="dxa"/>
              <w:left w:w="2" w:type="dxa"/>
              <w:bottom w:w="0" w:type="dxa"/>
              <w:right w:w="2" w:type="dxa"/>
            </w:tcMar>
            <w:hideMark/>
          </w:tcPr>
          <w:p w14:paraId="0FCB9DB6" w14:textId="77777777" w:rsidR="005D07A6" w:rsidRDefault="00F42774">
            <w:pPr>
              <w:pStyle w:val="TA1"/>
              <w:rPr>
                <w:rFonts w:eastAsiaTheme="minorEastAsia"/>
              </w:rPr>
            </w:pPr>
            <w:r>
              <w:t>HP médium</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116E194D" w14:textId="77777777" w:rsidR="005D07A6" w:rsidRDefault="00F42774">
            <w:pPr>
              <w:pStyle w:val="TA1"/>
              <w:jc w:val="right"/>
              <w:rPr>
                <w:rFonts w:eastAsiaTheme="minorEastAsia"/>
              </w:rPr>
            </w:pPr>
            <w:r>
              <w:t>832 unités</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47CD4BB4" w14:textId="77777777" w:rsidR="005D07A6" w:rsidRDefault="00F42774">
            <w:pPr>
              <w:pStyle w:val="TA1"/>
              <w:jc w:val="right"/>
              <w:rPr>
                <w:rFonts w:eastAsiaTheme="minorEastAsia"/>
              </w:rPr>
            </w:pPr>
            <w:r>
              <w:t>12 900,70 €</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29DE2317" w14:textId="77777777" w:rsidR="005D07A6" w:rsidRDefault="00F42774">
            <w:pPr>
              <w:pStyle w:val="TA1"/>
              <w:jc w:val="right"/>
              <w:rPr>
                <w:rFonts w:eastAsiaTheme="minorEastAsia"/>
              </w:rPr>
            </w:pPr>
            <w:r>
              <w:t>922 unités</w:t>
            </w:r>
          </w:p>
        </w:tc>
      </w:tr>
      <w:tr w:rsidR="005D07A6" w14:paraId="5B36A2C2" w14:textId="77777777">
        <w:tc>
          <w:tcPr>
            <w:tcW w:w="1365" w:type="dxa"/>
            <w:tcBorders>
              <w:top w:val="nil"/>
              <w:left w:val="single" w:sz="4" w:space="0" w:color="auto"/>
              <w:bottom w:val="nil"/>
              <w:right w:val="single" w:sz="4" w:space="0" w:color="auto"/>
            </w:tcBorders>
            <w:tcMar>
              <w:top w:w="0" w:type="dxa"/>
              <w:left w:w="2" w:type="dxa"/>
              <w:bottom w:w="0" w:type="dxa"/>
              <w:right w:w="2" w:type="dxa"/>
            </w:tcMar>
            <w:hideMark/>
          </w:tcPr>
          <w:p w14:paraId="558E7D99" w14:textId="77777777" w:rsidR="005D07A6" w:rsidRDefault="00F42774">
            <w:pPr>
              <w:pStyle w:val="TA1"/>
              <w:rPr>
                <w:rFonts w:eastAsiaTheme="minorEastAsia"/>
              </w:rPr>
            </w:pPr>
            <w:r>
              <w:t>Aggloméré</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56752C60" w14:textId="77777777" w:rsidR="005D07A6" w:rsidRDefault="00F42774">
            <w:pPr>
              <w:pStyle w:val="TA1"/>
              <w:jc w:val="right"/>
              <w:rPr>
                <w:rFonts w:eastAsiaTheme="minorEastAsia"/>
              </w:rPr>
            </w:pPr>
            <w:r>
              <w:t>1 000 m</w:t>
            </w:r>
            <w:r>
              <w:rPr>
                <w:vertAlign w:val="superscript"/>
              </w:rPr>
              <w:t>2</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683437E3" w14:textId="77777777" w:rsidR="005D07A6" w:rsidRDefault="00F42774">
            <w:pPr>
              <w:pStyle w:val="TA1"/>
              <w:jc w:val="right"/>
              <w:rPr>
                <w:rFonts w:eastAsiaTheme="minorEastAsia"/>
              </w:rPr>
            </w:pPr>
            <w:r>
              <w:t>1 097,50 €</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3650F793" w14:textId="77777777" w:rsidR="005D07A6" w:rsidRDefault="00F42774">
            <w:pPr>
              <w:pStyle w:val="TA1"/>
              <w:jc w:val="right"/>
              <w:rPr>
                <w:rFonts w:eastAsiaTheme="minorEastAsia"/>
              </w:rPr>
            </w:pPr>
            <w:r>
              <w:t>860 m</w:t>
            </w:r>
            <w:r>
              <w:rPr>
                <w:vertAlign w:val="superscript"/>
              </w:rPr>
              <w:t>2</w:t>
            </w:r>
          </w:p>
        </w:tc>
      </w:tr>
      <w:tr w:rsidR="005D07A6" w14:paraId="748CDF43" w14:textId="77777777">
        <w:tc>
          <w:tcPr>
            <w:tcW w:w="1365" w:type="dxa"/>
            <w:tcBorders>
              <w:top w:val="nil"/>
              <w:left w:val="single" w:sz="4" w:space="0" w:color="auto"/>
              <w:bottom w:val="nil"/>
              <w:right w:val="single" w:sz="4" w:space="0" w:color="auto"/>
            </w:tcBorders>
            <w:tcMar>
              <w:top w:w="0" w:type="dxa"/>
              <w:left w:w="2" w:type="dxa"/>
              <w:bottom w:w="0" w:type="dxa"/>
              <w:right w:w="2" w:type="dxa"/>
            </w:tcMar>
            <w:hideMark/>
          </w:tcPr>
          <w:p w14:paraId="5A0EDCF1" w14:textId="77777777" w:rsidR="005D07A6" w:rsidRDefault="00F42774">
            <w:pPr>
              <w:pStyle w:val="TA1"/>
              <w:rPr>
                <w:rFonts w:eastAsiaTheme="minorEastAsia"/>
              </w:rPr>
            </w:pPr>
            <w:r>
              <w:t>Absorbant phonique</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073EFC0C" w14:textId="77777777" w:rsidR="005D07A6" w:rsidRDefault="00F42774">
            <w:pPr>
              <w:pStyle w:val="TA1"/>
              <w:jc w:val="right"/>
              <w:rPr>
                <w:rFonts w:eastAsiaTheme="minorEastAsia"/>
              </w:rPr>
            </w:pPr>
            <w:r>
              <w:t>900 m</w:t>
            </w:r>
            <w:r>
              <w:rPr>
                <w:vertAlign w:val="superscript"/>
              </w:rPr>
              <w:t>2</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1657FA74" w14:textId="77777777" w:rsidR="005D07A6" w:rsidRDefault="00F42774">
            <w:pPr>
              <w:pStyle w:val="TA1"/>
              <w:jc w:val="right"/>
              <w:rPr>
                <w:rFonts w:eastAsiaTheme="minorEastAsia"/>
              </w:rPr>
            </w:pPr>
            <w:r>
              <w:t>900,00 €</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4830006B" w14:textId="77777777" w:rsidR="005D07A6" w:rsidRDefault="00F42774">
            <w:pPr>
              <w:pStyle w:val="TA1"/>
              <w:jc w:val="right"/>
              <w:rPr>
                <w:rFonts w:eastAsiaTheme="minorEastAsia"/>
              </w:rPr>
            </w:pPr>
            <w:r>
              <w:t>110 m</w:t>
            </w:r>
            <w:r>
              <w:rPr>
                <w:vertAlign w:val="superscript"/>
              </w:rPr>
              <w:t>2</w:t>
            </w:r>
          </w:p>
        </w:tc>
      </w:tr>
      <w:tr w:rsidR="005D07A6" w14:paraId="059B79E1" w14:textId="77777777">
        <w:tc>
          <w:tcPr>
            <w:tcW w:w="1365" w:type="dxa"/>
            <w:tcBorders>
              <w:top w:val="nil"/>
              <w:left w:val="single" w:sz="4" w:space="0" w:color="auto"/>
              <w:bottom w:val="nil"/>
              <w:right w:val="single" w:sz="4" w:space="0" w:color="auto"/>
            </w:tcBorders>
            <w:tcMar>
              <w:top w:w="0" w:type="dxa"/>
              <w:left w:w="2" w:type="dxa"/>
              <w:bottom w:w="0" w:type="dxa"/>
              <w:right w:w="2" w:type="dxa"/>
            </w:tcMar>
            <w:hideMark/>
          </w:tcPr>
          <w:p w14:paraId="5B5DF7BD" w14:textId="77777777" w:rsidR="005D07A6" w:rsidRDefault="00F42774">
            <w:pPr>
              <w:pStyle w:val="TA1"/>
              <w:rPr>
                <w:rFonts w:eastAsiaTheme="minorEastAsia"/>
              </w:rPr>
            </w:pPr>
            <w:r>
              <w:t>Tissu acoustique</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3EF5E4CD" w14:textId="77777777" w:rsidR="005D07A6" w:rsidRDefault="00F42774">
            <w:pPr>
              <w:pStyle w:val="TA1"/>
              <w:jc w:val="right"/>
              <w:rPr>
                <w:rFonts w:eastAsiaTheme="minorEastAsia"/>
              </w:rPr>
            </w:pPr>
            <w:r>
              <w:t>2 000 m</w:t>
            </w:r>
            <w:r>
              <w:rPr>
                <w:vertAlign w:val="superscript"/>
              </w:rPr>
              <w:t>2</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7A576FD3" w14:textId="77777777" w:rsidR="005D07A6" w:rsidRDefault="00F42774">
            <w:pPr>
              <w:pStyle w:val="TA1"/>
              <w:jc w:val="right"/>
              <w:rPr>
                <w:rFonts w:eastAsiaTheme="minorEastAsia"/>
              </w:rPr>
            </w:pPr>
            <w:r>
              <w:t>3 320,00 €</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0769EC50" w14:textId="77777777" w:rsidR="005D07A6" w:rsidRDefault="00F42774">
            <w:pPr>
              <w:pStyle w:val="TA1"/>
              <w:jc w:val="right"/>
              <w:rPr>
                <w:rFonts w:eastAsiaTheme="minorEastAsia"/>
              </w:rPr>
            </w:pPr>
            <w:r>
              <w:t>700 m</w:t>
            </w:r>
            <w:r>
              <w:rPr>
                <w:vertAlign w:val="superscript"/>
              </w:rPr>
              <w:t>2</w:t>
            </w:r>
          </w:p>
        </w:tc>
      </w:tr>
      <w:tr w:rsidR="005D07A6" w14:paraId="58DB4E1C" w14:textId="77777777">
        <w:tc>
          <w:tcPr>
            <w:tcW w:w="1365" w:type="dxa"/>
            <w:tcBorders>
              <w:top w:val="nil"/>
              <w:left w:val="single" w:sz="4" w:space="0" w:color="auto"/>
              <w:bottom w:val="nil"/>
              <w:right w:val="single" w:sz="4" w:space="0" w:color="auto"/>
            </w:tcBorders>
            <w:tcMar>
              <w:top w:w="0" w:type="dxa"/>
              <w:left w:w="2" w:type="dxa"/>
              <w:bottom w:w="0" w:type="dxa"/>
              <w:right w:w="2" w:type="dxa"/>
            </w:tcMar>
            <w:hideMark/>
          </w:tcPr>
          <w:p w14:paraId="389F64C9" w14:textId="77777777" w:rsidR="005D07A6" w:rsidRDefault="00F42774">
            <w:pPr>
              <w:pStyle w:val="TA1"/>
              <w:rPr>
                <w:rFonts w:eastAsiaTheme="minorEastAsia"/>
              </w:rPr>
            </w:pPr>
            <w:r>
              <w:t>Filtres A</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55EA47C3" w14:textId="77777777" w:rsidR="005D07A6" w:rsidRDefault="00F42774">
            <w:pPr>
              <w:pStyle w:val="TA1"/>
              <w:jc w:val="right"/>
              <w:rPr>
                <w:rFonts w:eastAsiaTheme="minorEastAsia"/>
              </w:rPr>
            </w:pPr>
            <w:r>
              <w:t>950 unités</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17CFEE64" w14:textId="77777777" w:rsidR="005D07A6" w:rsidRDefault="00F42774">
            <w:pPr>
              <w:pStyle w:val="TA1"/>
              <w:jc w:val="right"/>
              <w:rPr>
                <w:rFonts w:eastAsiaTheme="minorEastAsia"/>
              </w:rPr>
            </w:pPr>
            <w:r>
              <w:t>7 790,00 €</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1EF9310C" w14:textId="77777777" w:rsidR="005D07A6" w:rsidRDefault="00F42774">
            <w:pPr>
              <w:pStyle w:val="TA1"/>
              <w:jc w:val="right"/>
              <w:rPr>
                <w:rFonts w:eastAsiaTheme="minorEastAsia"/>
              </w:rPr>
            </w:pPr>
            <w:r>
              <w:t>105 unités</w:t>
            </w:r>
          </w:p>
        </w:tc>
      </w:tr>
      <w:tr w:rsidR="005D07A6" w14:paraId="679A8476" w14:textId="77777777">
        <w:tc>
          <w:tcPr>
            <w:tcW w:w="13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0505D36" w14:textId="77777777" w:rsidR="005D07A6" w:rsidRDefault="00F42774">
            <w:pPr>
              <w:pStyle w:val="TA1"/>
              <w:rPr>
                <w:rFonts w:eastAsiaTheme="minorEastAsia"/>
              </w:rPr>
            </w:pPr>
            <w:r>
              <w:t>Filtres B</w:t>
            </w:r>
          </w:p>
        </w:tc>
        <w:tc>
          <w:tcPr>
            <w:tcW w:w="129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614E70A" w14:textId="77777777" w:rsidR="005D07A6" w:rsidRDefault="00F42774">
            <w:pPr>
              <w:pStyle w:val="TA1"/>
              <w:jc w:val="right"/>
              <w:rPr>
                <w:rFonts w:eastAsiaTheme="minorEastAsia"/>
              </w:rPr>
            </w:pPr>
            <w:r>
              <w:t>1 203 unités</w:t>
            </w:r>
          </w:p>
        </w:tc>
        <w:tc>
          <w:tcPr>
            <w:tcW w:w="129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AF03F60" w14:textId="77777777" w:rsidR="005D07A6" w:rsidRDefault="00F42774">
            <w:pPr>
              <w:pStyle w:val="TA1"/>
              <w:jc w:val="right"/>
              <w:rPr>
                <w:rFonts w:eastAsiaTheme="minorEastAsia"/>
              </w:rPr>
            </w:pPr>
            <w:r>
              <w:t>13 222,50 €</w:t>
            </w:r>
          </w:p>
        </w:tc>
        <w:tc>
          <w:tcPr>
            <w:tcW w:w="129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DBC306C" w14:textId="77777777" w:rsidR="005D07A6" w:rsidRDefault="00F42774">
            <w:pPr>
              <w:pStyle w:val="TA1"/>
              <w:jc w:val="right"/>
              <w:rPr>
                <w:rFonts w:eastAsiaTheme="minorEastAsia"/>
              </w:rPr>
            </w:pPr>
            <w:r>
              <w:t>448 unités</w:t>
            </w:r>
          </w:p>
        </w:tc>
      </w:tr>
      <w:tr w:rsidR="005D07A6" w14:paraId="598A90BE" w14:textId="77777777">
        <w:tc>
          <w:tcPr>
            <w:tcW w:w="13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DD88BFE" w14:textId="77777777" w:rsidR="005D07A6" w:rsidRDefault="00F42774">
            <w:pPr>
              <w:pStyle w:val="TA1"/>
              <w:rPr>
                <w:rFonts w:eastAsiaTheme="minorEastAsia"/>
              </w:rPr>
            </w:pPr>
            <w:r>
              <w:t>Carcasses</w:t>
            </w:r>
          </w:p>
        </w:tc>
        <w:tc>
          <w:tcPr>
            <w:tcW w:w="129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77F630B" w14:textId="77777777" w:rsidR="005D07A6" w:rsidRDefault="00F42774">
            <w:pPr>
              <w:pStyle w:val="TA1"/>
              <w:jc w:val="right"/>
              <w:rPr>
                <w:rFonts w:eastAsiaTheme="minorEastAsia"/>
              </w:rPr>
            </w:pPr>
            <w:r>
              <w:t>1 702 unités</w:t>
            </w:r>
          </w:p>
        </w:tc>
        <w:tc>
          <w:tcPr>
            <w:tcW w:w="129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D0779AF" w14:textId="77777777" w:rsidR="005D07A6" w:rsidRDefault="00F42774">
            <w:pPr>
              <w:pStyle w:val="TA1"/>
              <w:jc w:val="right"/>
              <w:rPr>
                <w:rFonts w:eastAsiaTheme="minorEastAsia"/>
              </w:rPr>
            </w:pPr>
            <w:r>
              <w:t>8 169,60 €</w:t>
            </w:r>
          </w:p>
        </w:tc>
        <w:tc>
          <w:tcPr>
            <w:tcW w:w="129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2D3FC80" w14:textId="77777777" w:rsidR="005D07A6" w:rsidRDefault="00F42774">
            <w:pPr>
              <w:pStyle w:val="TA1"/>
              <w:jc w:val="right"/>
              <w:rPr>
                <w:rFonts w:eastAsiaTheme="minorEastAsia"/>
              </w:rPr>
            </w:pPr>
            <w:r>
              <w:t>252 unités</w:t>
            </w:r>
          </w:p>
        </w:tc>
      </w:tr>
      <w:tr w:rsidR="005D07A6" w14:paraId="5E8CA209" w14:textId="77777777">
        <w:tc>
          <w:tcPr>
            <w:tcW w:w="1365" w:type="dxa"/>
            <w:tcBorders>
              <w:top w:val="nil"/>
              <w:left w:val="single" w:sz="4" w:space="0" w:color="auto"/>
              <w:bottom w:val="nil"/>
              <w:right w:val="single" w:sz="4" w:space="0" w:color="auto"/>
            </w:tcBorders>
            <w:tcMar>
              <w:top w:w="0" w:type="dxa"/>
              <w:left w:w="2" w:type="dxa"/>
              <w:bottom w:w="0" w:type="dxa"/>
              <w:right w:w="2" w:type="dxa"/>
            </w:tcMar>
            <w:hideMark/>
          </w:tcPr>
          <w:p w14:paraId="33DFA57C" w14:textId="77777777" w:rsidR="005D07A6" w:rsidRDefault="00F42774">
            <w:pPr>
              <w:pStyle w:val="TA1"/>
              <w:rPr>
                <w:rFonts w:eastAsiaTheme="minorEastAsia"/>
              </w:rPr>
            </w:pPr>
            <w:r>
              <w:t>Cônes</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25DC656F" w14:textId="77777777" w:rsidR="005D07A6" w:rsidRDefault="00F42774">
            <w:pPr>
              <w:pStyle w:val="TA1"/>
              <w:jc w:val="right"/>
              <w:rPr>
                <w:rFonts w:eastAsiaTheme="minorEastAsia"/>
              </w:rPr>
            </w:pPr>
            <w:r>
              <w:t>1 500 unités</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132C0F92" w14:textId="77777777" w:rsidR="005D07A6" w:rsidRDefault="00F42774">
            <w:pPr>
              <w:pStyle w:val="TA1"/>
              <w:jc w:val="right"/>
              <w:rPr>
                <w:rFonts w:eastAsiaTheme="minorEastAsia"/>
              </w:rPr>
            </w:pPr>
            <w:r>
              <w:t>900,00 €</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1C5E0904" w14:textId="77777777" w:rsidR="005D07A6" w:rsidRDefault="00F42774">
            <w:pPr>
              <w:pStyle w:val="TA1"/>
              <w:jc w:val="right"/>
              <w:rPr>
                <w:rFonts w:eastAsiaTheme="minorEastAsia"/>
              </w:rPr>
            </w:pPr>
            <w:r>
              <w:t>48 unités</w:t>
            </w:r>
          </w:p>
        </w:tc>
      </w:tr>
      <w:tr w:rsidR="005D07A6" w14:paraId="0C52E719" w14:textId="77777777">
        <w:tc>
          <w:tcPr>
            <w:tcW w:w="1365" w:type="dxa"/>
            <w:tcBorders>
              <w:top w:val="nil"/>
              <w:left w:val="single" w:sz="4" w:space="0" w:color="auto"/>
              <w:bottom w:val="nil"/>
              <w:right w:val="single" w:sz="4" w:space="0" w:color="auto"/>
            </w:tcBorders>
            <w:tcMar>
              <w:top w:w="0" w:type="dxa"/>
              <w:left w:w="2" w:type="dxa"/>
              <w:bottom w:w="0" w:type="dxa"/>
              <w:right w:w="2" w:type="dxa"/>
            </w:tcMar>
            <w:hideMark/>
          </w:tcPr>
          <w:p w14:paraId="54312D54" w14:textId="77777777" w:rsidR="005D07A6" w:rsidRDefault="00F42774">
            <w:pPr>
              <w:pStyle w:val="TA1"/>
              <w:rPr>
                <w:rFonts w:eastAsiaTheme="minorEastAsia"/>
              </w:rPr>
            </w:pPr>
            <w:r>
              <w:lastRenderedPageBreak/>
              <w:t>Enceintes C</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7DA4C53B" w14:textId="77777777" w:rsidR="005D07A6" w:rsidRDefault="00F42774">
            <w:pPr>
              <w:pStyle w:val="TA1"/>
              <w:jc w:val="right"/>
              <w:rPr>
                <w:rFonts w:eastAsiaTheme="minorEastAsia"/>
              </w:rPr>
            </w:pPr>
            <w:r>
              <w:t>60 unités</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352F60D8" w14:textId="77777777" w:rsidR="005D07A6" w:rsidRDefault="00F42774">
            <w:pPr>
              <w:pStyle w:val="TA1"/>
              <w:jc w:val="right"/>
              <w:rPr>
                <w:rFonts w:eastAsiaTheme="minorEastAsia"/>
              </w:rPr>
            </w:pPr>
            <w:r>
              <w:t>3 978,00 €</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75A31469" w14:textId="77777777" w:rsidR="005D07A6" w:rsidRDefault="00F42774">
            <w:pPr>
              <w:pStyle w:val="TA1"/>
              <w:jc w:val="right"/>
              <w:rPr>
                <w:rFonts w:eastAsiaTheme="minorEastAsia"/>
              </w:rPr>
            </w:pPr>
            <w:r>
              <w:t>100 unités</w:t>
            </w:r>
          </w:p>
        </w:tc>
      </w:tr>
      <w:tr w:rsidR="005D07A6" w14:paraId="4E963EAB" w14:textId="77777777">
        <w:tc>
          <w:tcPr>
            <w:tcW w:w="1365" w:type="dxa"/>
            <w:tcBorders>
              <w:top w:val="nil"/>
              <w:left w:val="single" w:sz="4" w:space="0" w:color="auto"/>
              <w:bottom w:val="nil"/>
              <w:right w:val="single" w:sz="4" w:space="0" w:color="auto"/>
            </w:tcBorders>
            <w:tcMar>
              <w:top w:w="0" w:type="dxa"/>
              <w:left w:w="2" w:type="dxa"/>
              <w:bottom w:w="0" w:type="dxa"/>
              <w:right w:w="2" w:type="dxa"/>
            </w:tcMar>
            <w:hideMark/>
          </w:tcPr>
          <w:p w14:paraId="637873BC" w14:textId="77777777" w:rsidR="005D07A6" w:rsidRDefault="00F42774">
            <w:pPr>
              <w:pStyle w:val="TA1"/>
              <w:rPr>
                <w:rFonts w:eastAsiaTheme="minorEastAsia"/>
              </w:rPr>
            </w:pPr>
            <w:r>
              <w:t>Enceintes HF</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1EFCE258" w14:textId="77777777" w:rsidR="005D07A6" w:rsidRDefault="00F42774">
            <w:pPr>
              <w:pStyle w:val="TA1"/>
              <w:jc w:val="right"/>
              <w:rPr>
                <w:rFonts w:eastAsiaTheme="minorEastAsia"/>
              </w:rPr>
            </w:pPr>
            <w:r>
              <w:t>48 unités</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668404C9" w14:textId="77777777" w:rsidR="005D07A6" w:rsidRDefault="00F42774">
            <w:pPr>
              <w:pStyle w:val="TA1"/>
              <w:jc w:val="right"/>
              <w:rPr>
                <w:rFonts w:eastAsiaTheme="minorEastAsia"/>
              </w:rPr>
            </w:pPr>
            <w:r>
              <w:t>4 197,20 €</w:t>
            </w:r>
          </w:p>
        </w:tc>
        <w:tc>
          <w:tcPr>
            <w:tcW w:w="1290" w:type="dxa"/>
            <w:tcBorders>
              <w:top w:val="nil"/>
              <w:left w:val="single" w:sz="4" w:space="0" w:color="auto"/>
              <w:bottom w:val="nil"/>
              <w:right w:val="single" w:sz="4" w:space="0" w:color="auto"/>
            </w:tcBorders>
            <w:tcMar>
              <w:top w:w="0" w:type="dxa"/>
              <w:left w:w="2" w:type="dxa"/>
              <w:bottom w:w="0" w:type="dxa"/>
              <w:right w:w="2" w:type="dxa"/>
            </w:tcMar>
            <w:hideMark/>
          </w:tcPr>
          <w:p w14:paraId="71B88369" w14:textId="77777777" w:rsidR="005D07A6" w:rsidRDefault="00F42774">
            <w:pPr>
              <w:pStyle w:val="TA1"/>
              <w:jc w:val="right"/>
              <w:rPr>
                <w:rFonts w:eastAsiaTheme="minorEastAsia"/>
              </w:rPr>
            </w:pPr>
            <w:r>
              <w:t>8 unités</w:t>
            </w:r>
          </w:p>
        </w:tc>
      </w:tr>
      <w:tr w:rsidR="005D07A6" w14:paraId="18280360" w14:textId="77777777">
        <w:tc>
          <w:tcPr>
            <w:tcW w:w="13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4EEF2C5" w14:textId="77777777" w:rsidR="005D07A6" w:rsidRDefault="00F42774">
            <w:pPr>
              <w:pStyle w:val="TA1"/>
              <w:rPr>
                <w:rFonts w:eastAsiaTheme="minorEastAsia"/>
              </w:rPr>
            </w:pPr>
            <w:r>
              <w:t>Matières consommables</w:t>
            </w:r>
          </w:p>
        </w:tc>
        <w:tc>
          <w:tcPr>
            <w:tcW w:w="129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DE468CE" w14:textId="77777777" w:rsidR="005D07A6" w:rsidRDefault="00F42774">
            <w:pPr>
              <w:pStyle w:val="TA1"/>
              <w:jc w:val="right"/>
              <w:rPr>
                <w:rFonts w:eastAsiaTheme="minorEastAsia"/>
              </w:rPr>
            </w:pPr>
            <w:r>
              <w:t>–</w:t>
            </w:r>
          </w:p>
        </w:tc>
        <w:tc>
          <w:tcPr>
            <w:tcW w:w="129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E95566B" w14:textId="77777777" w:rsidR="005D07A6" w:rsidRDefault="00F42774">
            <w:pPr>
              <w:pStyle w:val="TA1"/>
              <w:jc w:val="right"/>
              <w:rPr>
                <w:rFonts w:eastAsiaTheme="minorEastAsia"/>
              </w:rPr>
            </w:pPr>
            <w:r>
              <w:t>9 000,00 €</w:t>
            </w:r>
          </w:p>
        </w:tc>
        <w:tc>
          <w:tcPr>
            <w:tcW w:w="129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2210776" w14:textId="77777777" w:rsidR="005D07A6" w:rsidRDefault="00F42774">
            <w:pPr>
              <w:pStyle w:val="TA1"/>
              <w:jc w:val="right"/>
              <w:rPr>
                <w:rFonts w:eastAsiaTheme="minorEastAsia"/>
              </w:rPr>
            </w:pPr>
            <w:r>
              <w:t>1 000 €</w:t>
            </w:r>
          </w:p>
        </w:tc>
      </w:tr>
    </w:tbl>
    <w:p w14:paraId="5216349E" w14:textId="77777777" w:rsidR="005D07A6" w:rsidRDefault="00F42774">
      <w:pPr>
        <w:pStyle w:val="debutfilet"/>
        <w:rPr>
          <w:rFonts w:eastAsiaTheme="minorEastAsia"/>
        </w:rPr>
      </w:pPr>
      <w:r>
        <w:t>Remarque</w:t>
      </w:r>
    </w:p>
    <w:p w14:paraId="38ED7AD3" w14:textId="77777777" w:rsidR="005D07A6" w:rsidRDefault="00F42774">
      <w:pPr>
        <w:pStyle w:val="LibelleRubrique"/>
      </w:pPr>
      <w:r>
        <w:t>Remarque</w:t>
      </w:r>
    </w:p>
    <w:p w14:paraId="098DB9F0" w14:textId="77777777" w:rsidR="005D07A6" w:rsidRDefault="00F42774">
      <w:pPr>
        <w:pStyle w:val="CT"/>
      </w:pPr>
      <w:r>
        <w:t>Les sorties de stock se font au coût moyen pondéré.</w:t>
      </w:r>
    </w:p>
    <w:p w14:paraId="1D22D207" w14:textId="77777777" w:rsidR="005D07A6" w:rsidRDefault="00F42774">
      <w:pPr>
        <w:pStyle w:val="finfilet"/>
      </w:pPr>
      <w:r>
        <w:t>Fin Remarque</w:t>
      </w:r>
    </w:p>
    <w:p w14:paraId="5BE025F7" w14:textId="77777777" w:rsidR="005D07A6" w:rsidRDefault="00F42774">
      <w:pPr>
        <w:pStyle w:val="TNiv2"/>
      </w:pPr>
      <w:r>
        <w:t>Achats</w:t>
      </w:r>
    </w:p>
    <w:tbl>
      <w:tblPr>
        <w:tblW w:w="3204" w:type="dxa"/>
        <w:tblInd w:w="1701" w:type="dxa"/>
        <w:tblLook w:val="04A0" w:firstRow="1" w:lastRow="0" w:firstColumn="1" w:lastColumn="0" w:noHBand="0" w:noVBand="1"/>
      </w:tblPr>
      <w:tblGrid>
        <w:gridCol w:w="1093"/>
        <w:gridCol w:w="1230"/>
        <w:gridCol w:w="881"/>
      </w:tblGrid>
      <w:tr w:rsidR="005D07A6" w14:paraId="29BE4C6B" w14:textId="77777777">
        <w:tc>
          <w:tcPr>
            <w:tcW w:w="855" w:type="dxa"/>
            <w:tcBorders>
              <w:top w:val="nil"/>
              <w:left w:val="nil"/>
              <w:bottom w:val="nil"/>
              <w:right w:val="nil"/>
            </w:tcBorders>
            <w:tcMar>
              <w:top w:w="0" w:type="dxa"/>
              <w:left w:w="2" w:type="dxa"/>
              <w:bottom w:w="0" w:type="dxa"/>
              <w:right w:w="2" w:type="dxa"/>
            </w:tcMar>
            <w:hideMark/>
          </w:tcPr>
          <w:p w14:paraId="411D6340" w14:textId="77777777" w:rsidR="005D07A6" w:rsidRDefault="00F42774">
            <w:pPr>
              <w:pStyle w:val="Tab-CT"/>
              <w:rPr>
                <w:rFonts w:eastAsiaTheme="minorEastAsia"/>
              </w:rPr>
            </w:pPr>
            <w:r>
              <w:t>HP aigus</w:t>
            </w:r>
          </w:p>
        </w:tc>
        <w:tc>
          <w:tcPr>
            <w:tcW w:w="855" w:type="dxa"/>
            <w:tcBorders>
              <w:top w:val="nil"/>
              <w:left w:val="nil"/>
              <w:bottom w:val="nil"/>
              <w:right w:val="nil"/>
            </w:tcBorders>
            <w:tcMar>
              <w:top w:w="0" w:type="dxa"/>
              <w:left w:w="2" w:type="dxa"/>
              <w:bottom w:w="0" w:type="dxa"/>
              <w:right w:w="2" w:type="dxa"/>
            </w:tcMar>
            <w:hideMark/>
          </w:tcPr>
          <w:p w14:paraId="1F756505" w14:textId="77777777" w:rsidR="005D07A6" w:rsidRDefault="00F42774">
            <w:pPr>
              <w:pStyle w:val="Tab-CT"/>
              <w:rPr>
                <w:rFonts w:eastAsiaTheme="minorEastAsia"/>
              </w:rPr>
            </w:pPr>
            <w:r>
              <w:t>1 103 unités</w:t>
            </w:r>
          </w:p>
        </w:tc>
        <w:tc>
          <w:tcPr>
            <w:tcW w:w="690" w:type="dxa"/>
            <w:tcBorders>
              <w:top w:val="nil"/>
              <w:left w:val="nil"/>
              <w:bottom w:val="nil"/>
              <w:right w:val="nil"/>
            </w:tcBorders>
            <w:tcMar>
              <w:top w:w="0" w:type="dxa"/>
              <w:left w:w="2" w:type="dxa"/>
              <w:bottom w:w="0" w:type="dxa"/>
              <w:right w:w="2" w:type="dxa"/>
            </w:tcMar>
            <w:hideMark/>
          </w:tcPr>
          <w:p w14:paraId="75B13154" w14:textId="77777777" w:rsidR="005D07A6" w:rsidRDefault="00F42774">
            <w:pPr>
              <w:pStyle w:val="Tab-CT"/>
              <w:jc w:val="right"/>
              <w:rPr>
                <w:rFonts w:eastAsiaTheme="minorEastAsia"/>
              </w:rPr>
            </w:pPr>
            <w:r>
              <w:t>4 838 €</w:t>
            </w:r>
          </w:p>
        </w:tc>
      </w:tr>
      <w:tr w:rsidR="005D07A6" w14:paraId="547D1C28" w14:textId="77777777">
        <w:tc>
          <w:tcPr>
            <w:tcW w:w="855" w:type="dxa"/>
            <w:tcBorders>
              <w:top w:val="nil"/>
              <w:left w:val="nil"/>
              <w:bottom w:val="nil"/>
              <w:right w:val="nil"/>
            </w:tcBorders>
            <w:tcMar>
              <w:top w:w="0" w:type="dxa"/>
              <w:left w:w="2" w:type="dxa"/>
              <w:bottom w:w="0" w:type="dxa"/>
              <w:right w:w="2" w:type="dxa"/>
            </w:tcMar>
            <w:hideMark/>
          </w:tcPr>
          <w:p w14:paraId="048663BD" w14:textId="77777777" w:rsidR="005D07A6" w:rsidRDefault="00F42774">
            <w:pPr>
              <w:pStyle w:val="Tab-CT"/>
              <w:rPr>
                <w:rFonts w:eastAsiaTheme="minorEastAsia"/>
              </w:rPr>
            </w:pPr>
            <w:r>
              <w:t>HP graves</w:t>
            </w:r>
          </w:p>
        </w:tc>
        <w:tc>
          <w:tcPr>
            <w:tcW w:w="855" w:type="dxa"/>
            <w:tcBorders>
              <w:top w:val="nil"/>
              <w:left w:val="nil"/>
              <w:bottom w:val="nil"/>
              <w:right w:val="nil"/>
            </w:tcBorders>
            <w:tcMar>
              <w:top w:w="0" w:type="dxa"/>
              <w:left w:w="2" w:type="dxa"/>
              <w:bottom w:w="0" w:type="dxa"/>
              <w:right w:w="2" w:type="dxa"/>
            </w:tcMar>
            <w:hideMark/>
          </w:tcPr>
          <w:p w14:paraId="32AD0C59" w14:textId="77777777" w:rsidR="005D07A6" w:rsidRDefault="00F42774">
            <w:pPr>
              <w:pStyle w:val="Tab-CT"/>
              <w:rPr>
                <w:rFonts w:eastAsiaTheme="minorEastAsia"/>
              </w:rPr>
            </w:pPr>
            <w:r>
              <w:t>700 unités</w:t>
            </w:r>
          </w:p>
        </w:tc>
        <w:tc>
          <w:tcPr>
            <w:tcW w:w="690" w:type="dxa"/>
            <w:tcBorders>
              <w:top w:val="nil"/>
              <w:left w:val="nil"/>
              <w:bottom w:val="nil"/>
              <w:right w:val="nil"/>
            </w:tcBorders>
            <w:tcMar>
              <w:top w:w="0" w:type="dxa"/>
              <w:left w:w="2" w:type="dxa"/>
              <w:bottom w:w="0" w:type="dxa"/>
              <w:right w:w="2" w:type="dxa"/>
            </w:tcMar>
            <w:hideMark/>
          </w:tcPr>
          <w:p w14:paraId="33BF7F22" w14:textId="77777777" w:rsidR="005D07A6" w:rsidRDefault="00F42774">
            <w:pPr>
              <w:pStyle w:val="Tab-CT"/>
              <w:jc w:val="right"/>
              <w:rPr>
                <w:rFonts w:eastAsiaTheme="minorEastAsia"/>
              </w:rPr>
            </w:pPr>
            <w:r>
              <w:t>7 890 €</w:t>
            </w:r>
          </w:p>
        </w:tc>
      </w:tr>
      <w:tr w:rsidR="005D07A6" w14:paraId="2D079005" w14:textId="77777777">
        <w:tc>
          <w:tcPr>
            <w:tcW w:w="855" w:type="dxa"/>
            <w:tcBorders>
              <w:top w:val="nil"/>
              <w:left w:val="nil"/>
              <w:bottom w:val="nil"/>
              <w:right w:val="nil"/>
            </w:tcBorders>
            <w:tcMar>
              <w:top w:w="0" w:type="dxa"/>
              <w:left w:w="2" w:type="dxa"/>
              <w:bottom w:w="0" w:type="dxa"/>
              <w:right w:w="2" w:type="dxa"/>
            </w:tcMar>
            <w:hideMark/>
          </w:tcPr>
          <w:p w14:paraId="5EAE1E72" w14:textId="77777777" w:rsidR="005D07A6" w:rsidRDefault="00F42774">
            <w:pPr>
              <w:pStyle w:val="Tab-CT"/>
              <w:rPr>
                <w:rFonts w:eastAsiaTheme="minorEastAsia"/>
              </w:rPr>
            </w:pPr>
            <w:r>
              <w:t>Aggloméré</w:t>
            </w:r>
          </w:p>
        </w:tc>
        <w:tc>
          <w:tcPr>
            <w:tcW w:w="855" w:type="dxa"/>
            <w:tcBorders>
              <w:top w:val="nil"/>
              <w:left w:val="nil"/>
              <w:bottom w:val="nil"/>
              <w:right w:val="nil"/>
            </w:tcBorders>
            <w:tcMar>
              <w:top w:w="0" w:type="dxa"/>
              <w:left w:w="2" w:type="dxa"/>
              <w:bottom w:w="0" w:type="dxa"/>
              <w:right w:w="2" w:type="dxa"/>
            </w:tcMar>
            <w:hideMark/>
          </w:tcPr>
          <w:p w14:paraId="58D2D52D" w14:textId="77777777" w:rsidR="005D07A6" w:rsidRDefault="00F42774">
            <w:pPr>
              <w:pStyle w:val="Tab-CT"/>
              <w:rPr>
                <w:rFonts w:eastAsiaTheme="minorEastAsia"/>
              </w:rPr>
            </w:pPr>
            <w:r>
              <w:t>2 000 m</w:t>
            </w:r>
            <w:r>
              <w:rPr>
                <w:vertAlign w:val="superscript"/>
              </w:rPr>
              <w:t>2</w:t>
            </w:r>
          </w:p>
        </w:tc>
        <w:tc>
          <w:tcPr>
            <w:tcW w:w="690" w:type="dxa"/>
            <w:tcBorders>
              <w:top w:val="nil"/>
              <w:left w:val="nil"/>
              <w:bottom w:val="nil"/>
              <w:right w:val="nil"/>
            </w:tcBorders>
            <w:tcMar>
              <w:top w:w="0" w:type="dxa"/>
              <w:left w:w="2" w:type="dxa"/>
              <w:bottom w:w="0" w:type="dxa"/>
              <w:right w:w="2" w:type="dxa"/>
            </w:tcMar>
            <w:hideMark/>
          </w:tcPr>
          <w:p w14:paraId="2B49106B" w14:textId="77777777" w:rsidR="005D07A6" w:rsidRDefault="00F42774">
            <w:pPr>
              <w:pStyle w:val="Tab-CT"/>
              <w:jc w:val="right"/>
              <w:rPr>
                <w:rFonts w:eastAsiaTheme="minorEastAsia"/>
              </w:rPr>
            </w:pPr>
            <w:r>
              <w:t>2 002 €</w:t>
            </w:r>
          </w:p>
        </w:tc>
      </w:tr>
      <w:tr w:rsidR="005D07A6" w14:paraId="415EEB70" w14:textId="77777777">
        <w:tc>
          <w:tcPr>
            <w:tcW w:w="855" w:type="dxa"/>
            <w:tcBorders>
              <w:top w:val="nil"/>
              <w:left w:val="nil"/>
              <w:bottom w:val="nil"/>
              <w:right w:val="nil"/>
            </w:tcBorders>
            <w:tcMar>
              <w:top w:w="0" w:type="dxa"/>
              <w:left w:w="2" w:type="dxa"/>
              <w:bottom w:w="0" w:type="dxa"/>
              <w:right w:w="2" w:type="dxa"/>
            </w:tcMar>
            <w:hideMark/>
          </w:tcPr>
          <w:p w14:paraId="162CDDAB" w14:textId="77777777" w:rsidR="005D07A6" w:rsidRDefault="00F42774">
            <w:pPr>
              <w:pStyle w:val="Tab-CT"/>
              <w:rPr>
                <w:rFonts w:eastAsiaTheme="minorEastAsia"/>
              </w:rPr>
            </w:pPr>
            <w:r>
              <w:t>Filtres B</w:t>
            </w:r>
          </w:p>
        </w:tc>
        <w:tc>
          <w:tcPr>
            <w:tcW w:w="855" w:type="dxa"/>
            <w:tcBorders>
              <w:top w:val="nil"/>
              <w:left w:val="nil"/>
              <w:bottom w:val="nil"/>
              <w:right w:val="nil"/>
            </w:tcBorders>
            <w:tcMar>
              <w:top w:w="0" w:type="dxa"/>
              <w:left w:w="2" w:type="dxa"/>
              <w:bottom w:w="0" w:type="dxa"/>
              <w:right w:w="2" w:type="dxa"/>
            </w:tcMar>
            <w:hideMark/>
          </w:tcPr>
          <w:p w14:paraId="5240B865" w14:textId="77777777" w:rsidR="005D07A6" w:rsidRDefault="00F42774">
            <w:pPr>
              <w:pStyle w:val="Tab-CT"/>
              <w:rPr>
                <w:rFonts w:eastAsiaTheme="minorEastAsia"/>
              </w:rPr>
            </w:pPr>
            <w:r>
              <w:t>597 unités</w:t>
            </w:r>
          </w:p>
        </w:tc>
        <w:tc>
          <w:tcPr>
            <w:tcW w:w="690" w:type="dxa"/>
            <w:tcBorders>
              <w:top w:val="nil"/>
              <w:left w:val="nil"/>
              <w:bottom w:val="single" w:sz="4" w:space="0" w:color="auto"/>
              <w:right w:val="nil"/>
            </w:tcBorders>
            <w:tcMar>
              <w:top w:w="0" w:type="dxa"/>
              <w:left w:w="2" w:type="dxa"/>
              <w:bottom w:w="0" w:type="dxa"/>
              <w:right w:w="2" w:type="dxa"/>
            </w:tcMar>
            <w:hideMark/>
          </w:tcPr>
          <w:p w14:paraId="17EEDB47" w14:textId="77777777" w:rsidR="005D07A6" w:rsidRDefault="00F42774">
            <w:pPr>
              <w:pStyle w:val="Tab-CT"/>
              <w:jc w:val="right"/>
              <w:rPr>
                <w:rFonts w:eastAsiaTheme="minorEastAsia"/>
              </w:rPr>
            </w:pPr>
            <w:r>
              <w:t>6 270 €</w:t>
            </w:r>
          </w:p>
        </w:tc>
      </w:tr>
      <w:tr w:rsidR="005D07A6" w14:paraId="59F3DC3B" w14:textId="77777777">
        <w:tc>
          <w:tcPr>
            <w:tcW w:w="855" w:type="dxa"/>
            <w:tcBorders>
              <w:top w:val="nil"/>
              <w:left w:val="nil"/>
              <w:bottom w:val="nil"/>
              <w:right w:val="nil"/>
            </w:tcBorders>
            <w:tcMar>
              <w:top w:w="0" w:type="dxa"/>
              <w:left w:w="2" w:type="dxa"/>
              <w:bottom w:w="0" w:type="dxa"/>
              <w:right w:w="2" w:type="dxa"/>
            </w:tcMar>
            <w:hideMark/>
          </w:tcPr>
          <w:p w14:paraId="717B0DD0" w14:textId="77777777" w:rsidR="005D07A6" w:rsidRDefault="005D07A6"/>
        </w:tc>
        <w:tc>
          <w:tcPr>
            <w:tcW w:w="855" w:type="dxa"/>
            <w:tcBorders>
              <w:top w:val="nil"/>
              <w:left w:val="nil"/>
              <w:bottom w:val="nil"/>
              <w:right w:val="nil"/>
            </w:tcBorders>
            <w:tcMar>
              <w:top w:w="0" w:type="dxa"/>
              <w:left w:w="2" w:type="dxa"/>
              <w:bottom w:w="0" w:type="dxa"/>
              <w:right w:w="2" w:type="dxa"/>
            </w:tcMar>
            <w:hideMark/>
          </w:tcPr>
          <w:p w14:paraId="18CDD482" w14:textId="77777777" w:rsidR="005D07A6" w:rsidRDefault="005D07A6"/>
        </w:tc>
        <w:tc>
          <w:tcPr>
            <w:tcW w:w="690" w:type="dxa"/>
            <w:tcBorders>
              <w:top w:val="single" w:sz="4" w:space="0" w:color="auto"/>
              <w:left w:val="nil"/>
              <w:bottom w:val="nil"/>
              <w:right w:val="nil"/>
            </w:tcBorders>
            <w:tcMar>
              <w:top w:w="0" w:type="dxa"/>
              <w:left w:w="2" w:type="dxa"/>
              <w:bottom w:w="0" w:type="dxa"/>
              <w:right w:w="2" w:type="dxa"/>
            </w:tcMar>
            <w:hideMark/>
          </w:tcPr>
          <w:p w14:paraId="2B5E4117" w14:textId="77777777" w:rsidR="005D07A6" w:rsidRDefault="00F42774">
            <w:pPr>
              <w:pStyle w:val="Tab-CT"/>
              <w:jc w:val="right"/>
              <w:rPr>
                <w:rFonts w:eastAsiaTheme="minorEastAsia"/>
              </w:rPr>
            </w:pPr>
            <w:r>
              <w:t>21 000 €</w:t>
            </w:r>
          </w:p>
        </w:tc>
      </w:tr>
    </w:tbl>
    <w:p w14:paraId="7B54AB35" w14:textId="77777777" w:rsidR="005D07A6" w:rsidRDefault="00F42774">
      <w:pPr>
        <w:pStyle w:val="TNiv2"/>
        <w:rPr>
          <w:rFonts w:eastAsiaTheme="minorEastAsia"/>
        </w:rPr>
      </w:pPr>
      <w:r>
        <w:t>Production</w:t>
      </w:r>
    </w:p>
    <w:p w14:paraId="7A39000B" w14:textId="77777777" w:rsidR="005D07A6" w:rsidRDefault="00F42774">
      <w:pPr>
        <w:pStyle w:val="ET"/>
      </w:pPr>
      <w:r>
        <w:t>Centre préparation : tous les HP aigus et graves achetés ont été préparés.</w:t>
      </w:r>
    </w:p>
    <w:p w14:paraId="77C3A67F" w14:textId="77777777" w:rsidR="005D07A6" w:rsidRDefault="00F42774">
      <w:pPr>
        <w:pStyle w:val="ET"/>
      </w:pPr>
      <w:r>
        <w:t>Centre fabrication des HP médium :</w:t>
      </w:r>
    </w:p>
    <w:p w14:paraId="27D743C2" w14:textId="77777777" w:rsidR="005D07A6" w:rsidRDefault="00F42774">
      <w:pPr>
        <w:pStyle w:val="ETS"/>
      </w:pPr>
      <w:r>
        <w:t>1 450 haut-parleurs ont été fabriqués avec chacun une carcasse et un cône (il n’y a pas eu de rebuts).</w:t>
      </w:r>
    </w:p>
    <w:p w14:paraId="084F396E" w14:textId="77777777" w:rsidR="005D07A6" w:rsidRDefault="00F42774">
      <w:pPr>
        <w:pStyle w:val="ET"/>
      </w:pPr>
      <w:r>
        <w:t>Centre menuiserie :</w:t>
      </w:r>
    </w:p>
    <w:p w14:paraId="625ADD2B" w14:textId="77777777" w:rsidR="005D07A6" w:rsidRDefault="00F42774">
      <w:pPr>
        <w:pStyle w:val="ETS"/>
      </w:pPr>
      <w:r>
        <w:t>2 192 boîtiers ont été produits avec 2 130 m</w:t>
      </w:r>
      <w:r>
        <w:rPr>
          <w:vertAlign w:val="superscript"/>
        </w:rPr>
        <w:t>2</w:t>
      </w:r>
      <w:r>
        <w:t xml:space="preserve"> d’agglomérés et 1 300 m</w:t>
      </w:r>
      <w:r>
        <w:rPr>
          <w:vertAlign w:val="superscript"/>
        </w:rPr>
        <w:t>2</w:t>
      </w:r>
      <w:r>
        <w:t xml:space="preserve"> de tissu acoustique.</w:t>
      </w:r>
    </w:p>
    <w:p w14:paraId="52E39AE7" w14:textId="77777777" w:rsidR="005D07A6" w:rsidRDefault="00F42774">
      <w:pPr>
        <w:pStyle w:val="ET"/>
      </w:pPr>
      <w:r>
        <w:t>Centre montage :</w:t>
      </w:r>
    </w:p>
    <w:p w14:paraId="00BA796C" w14:textId="77777777" w:rsidR="005D07A6" w:rsidRDefault="00F42774">
      <w:pPr>
        <w:pStyle w:val="ETS"/>
      </w:pPr>
      <w:r>
        <w:t>840 enceintes C (avec 300 m</w:t>
      </w:r>
      <w:r>
        <w:rPr>
          <w:vertAlign w:val="superscript"/>
        </w:rPr>
        <w:t>2</w:t>
      </w:r>
      <w:r>
        <w:t xml:space="preserve"> d’absorbant phonique) et 1 352 enceintes HF (avec 500 m</w:t>
      </w:r>
      <w:r>
        <w:rPr>
          <w:vertAlign w:val="superscript"/>
        </w:rPr>
        <w:t>2</w:t>
      </w:r>
      <w:r>
        <w:t xml:space="preserve"> d’absorbant phonique) ont été produites. Il n’y a eu aucun rebut pour l’utilisation des boîtiers, haut-parleurs et filtres.</w:t>
      </w:r>
    </w:p>
    <w:p w14:paraId="0CD0CE1F" w14:textId="77777777" w:rsidR="005D07A6" w:rsidRDefault="00F42774">
      <w:pPr>
        <w:pStyle w:val="TNiv1"/>
      </w:pPr>
      <w:r>
        <w:t>Ventes</w:t>
      </w:r>
    </w:p>
    <w:tbl>
      <w:tblPr>
        <w:tblW w:w="4360" w:type="dxa"/>
        <w:tblInd w:w="1701" w:type="dxa"/>
        <w:tblLook w:val="04A0" w:firstRow="1" w:lastRow="0" w:firstColumn="1" w:lastColumn="0" w:noHBand="0" w:noVBand="1"/>
      </w:tblPr>
      <w:tblGrid>
        <w:gridCol w:w="3198"/>
        <w:gridCol w:w="1162"/>
      </w:tblGrid>
      <w:tr w:rsidR="005D07A6" w14:paraId="6D5AC462" w14:textId="77777777">
        <w:tc>
          <w:tcPr>
            <w:tcW w:w="2460" w:type="dxa"/>
            <w:tcBorders>
              <w:top w:val="nil"/>
              <w:left w:val="nil"/>
              <w:bottom w:val="nil"/>
              <w:right w:val="nil"/>
            </w:tcBorders>
            <w:tcMar>
              <w:top w:w="0" w:type="dxa"/>
              <w:left w:w="2" w:type="dxa"/>
              <w:bottom w:w="0" w:type="dxa"/>
              <w:right w:w="2" w:type="dxa"/>
            </w:tcMar>
            <w:hideMark/>
          </w:tcPr>
          <w:p w14:paraId="41804358" w14:textId="77777777" w:rsidR="005D07A6" w:rsidRDefault="00F42774">
            <w:pPr>
              <w:pStyle w:val="Tab-CT"/>
              <w:rPr>
                <w:rFonts w:eastAsiaTheme="minorEastAsia"/>
              </w:rPr>
            </w:pPr>
            <w:r>
              <w:t>Enceintes C : 800 unités à 97,50 € :</w:t>
            </w:r>
          </w:p>
        </w:tc>
        <w:tc>
          <w:tcPr>
            <w:tcW w:w="810" w:type="dxa"/>
            <w:tcBorders>
              <w:top w:val="nil"/>
              <w:left w:val="nil"/>
              <w:bottom w:val="nil"/>
              <w:right w:val="nil"/>
            </w:tcBorders>
            <w:tcMar>
              <w:top w:w="0" w:type="dxa"/>
              <w:left w:w="2" w:type="dxa"/>
              <w:bottom w:w="0" w:type="dxa"/>
              <w:right w:w="2" w:type="dxa"/>
            </w:tcMar>
            <w:hideMark/>
          </w:tcPr>
          <w:p w14:paraId="70A46244" w14:textId="77777777" w:rsidR="005D07A6" w:rsidRDefault="00F42774">
            <w:pPr>
              <w:pStyle w:val="Tab-CT"/>
              <w:jc w:val="right"/>
              <w:rPr>
                <w:rFonts w:eastAsiaTheme="minorEastAsia"/>
              </w:rPr>
            </w:pPr>
            <w:r>
              <w:t>78 000 €</w:t>
            </w:r>
          </w:p>
        </w:tc>
      </w:tr>
      <w:tr w:rsidR="005D07A6" w14:paraId="65C4105C" w14:textId="77777777">
        <w:tc>
          <w:tcPr>
            <w:tcW w:w="2460" w:type="dxa"/>
            <w:tcBorders>
              <w:top w:val="nil"/>
              <w:left w:val="nil"/>
              <w:bottom w:val="nil"/>
              <w:right w:val="nil"/>
            </w:tcBorders>
            <w:tcMar>
              <w:top w:w="0" w:type="dxa"/>
              <w:left w:w="2" w:type="dxa"/>
              <w:bottom w:w="0" w:type="dxa"/>
              <w:right w:w="2" w:type="dxa"/>
            </w:tcMar>
            <w:hideMark/>
          </w:tcPr>
          <w:p w14:paraId="4E2CE334" w14:textId="77777777" w:rsidR="005D07A6" w:rsidRDefault="00F42774">
            <w:pPr>
              <w:pStyle w:val="Tab-CT"/>
              <w:rPr>
                <w:rFonts w:eastAsiaTheme="minorEastAsia"/>
              </w:rPr>
            </w:pPr>
            <w:r>
              <w:t>Enceintes HF : 1 390 unités à 110 € :</w:t>
            </w:r>
          </w:p>
        </w:tc>
        <w:tc>
          <w:tcPr>
            <w:tcW w:w="810" w:type="dxa"/>
            <w:tcBorders>
              <w:top w:val="nil"/>
              <w:left w:val="nil"/>
              <w:bottom w:val="single" w:sz="4" w:space="0" w:color="auto"/>
              <w:right w:val="nil"/>
            </w:tcBorders>
            <w:tcMar>
              <w:top w:w="0" w:type="dxa"/>
              <w:left w:w="2" w:type="dxa"/>
              <w:bottom w:w="0" w:type="dxa"/>
              <w:right w:w="2" w:type="dxa"/>
            </w:tcMar>
            <w:hideMark/>
          </w:tcPr>
          <w:p w14:paraId="2B15289E" w14:textId="77777777" w:rsidR="005D07A6" w:rsidRDefault="00F42774">
            <w:pPr>
              <w:pStyle w:val="Tab-CT"/>
              <w:jc w:val="right"/>
              <w:rPr>
                <w:rFonts w:eastAsiaTheme="minorEastAsia"/>
              </w:rPr>
            </w:pPr>
            <w:r>
              <w:t>152 900 €</w:t>
            </w:r>
          </w:p>
        </w:tc>
      </w:tr>
      <w:tr w:rsidR="005D07A6" w14:paraId="1BA8E2D6" w14:textId="77777777">
        <w:tc>
          <w:tcPr>
            <w:tcW w:w="2460" w:type="dxa"/>
            <w:tcBorders>
              <w:top w:val="nil"/>
              <w:left w:val="nil"/>
              <w:bottom w:val="nil"/>
              <w:right w:val="nil"/>
            </w:tcBorders>
            <w:tcMar>
              <w:top w:w="0" w:type="dxa"/>
              <w:left w:w="2" w:type="dxa"/>
              <w:bottom w:w="0" w:type="dxa"/>
              <w:right w:w="2" w:type="dxa"/>
            </w:tcMar>
            <w:hideMark/>
          </w:tcPr>
          <w:p w14:paraId="2DB486E5" w14:textId="77777777" w:rsidR="005D07A6" w:rsidRDefault="005D07A6"/>
        </w:tc>
        <w:tc>
          <w:tcPr>
            <w:tcW w:w="810" w:type="dxa"/>
            <w:tcBorders>
              <w:top w:val="single" w:sz="4" w:space="0" w:color="auto"/>
              <w:left w:val="nil"/>
              <w:bottom w:val="nil"/>
              <w:right w:val="nil"/>
            </w:tcBorders>
            <w:tcMar>
              <w:top w:w="0" w:type="dxa"/>
              <w:left w:w="2" w:type="dxa"/>
              <w:bottom w:w="0" w:type="dxa"/>
              <w:right w:w="2" w:type="dxa"/>
            </w:tcMar>
            <w:hideMark/>
          </w:tcPr>
          <w:p w14:paraId="01A7C122" w14:textId="77777777" w:rsidR="005D07A6" w:rsidRDefault="00F42774">
            <w:pPr>
              <w:pStyle w:val="Tab-CT"/>
              <w:jc w:val="right"/>
              <w:rPr>
                <w:rFonts w:eastAsiaTheme="minorEastAsia"/>
              </w:rPr>
            </w:pPr>
            <w:r>
              <w:t>230 900 €</w:t>
            </w:r>
          </w:p>
        </w:tc>
      </w:tr>
    </w:tbl>
    <w:p w14:paraId="3912E909" w14:textId="77777777" w:rsidR="005D07A6" w:rsidRDefault="00F42774">
      <w:pPr>
        <w:pStyle w:val="TNiv1"/>
        <w:rPr>
          <w:rFonts w:eastAsiaTheme="minorEastAsia"/>
        </w:rPr>
      </w:pPr>
      <w:r>
        <w:t xml:space="preserve">Répartition des charges indirectes (voir </w:t>
      </w:r>
      <w:r>
        <w:rPr>
          <w:rStyle w:val="renvoi"/>
        </w:rPr>
        <w:t>annexe</w:t>
      </w:r>
      <w:r>
        <w:t>)</w:t>
      </w:r>
    </w:p>
    <w:p w14:paraId="2582D394" w14:textId="77777777" w:rsidR="005D07A6" w:rsidRDefault="00F42774">
      <w:pPr>
        <w:pStyle w:val="TexteEnonceQuestion"/>
      </w:pPr>
      <w:r>
        <w:rPr>
          <w:rStyle w:val="NEnonceQuestion"/>
        </w:rPr>
        <w:t>1. </w:t>
      </w:r>
      <w:r>
        <w:t>Complétez le tableau de répartition des charges indirectes jusqu’à la détermination des coûts d’unité d’œuvre des centres principaux (le calcul annexe des prestations réciproques devra être présenté).</w:t>
      </w:r>
    </w:p>
    <w:p w14:paraId="26FB93B5" w14:textId="77777777" w:rsidR="005D07A6" w:rsidRDefault="00F42774">
      <w:pPr>
        <w:pStyle w:val="TexteEnonceQuestion"/>
      </w:pPr>
      <w:r>
        <w:rPr>
          <w:rStyle w:val="NEnonceQuestion"/>
        </w:rPr>
        <w:t>2. </w:t>
      </w:r>
      <w:r>
        <w:t>Calculez les coûts et résultats analytiques de janvier (les fiches de stock demandées feront apparaître le stock final théorique, le stock final réel et les différences d’inventaire).</w:t>
      </w:r>
    </w:p>
    <w:p w14:paraId="1C5E5069" w14:textId="77777777" w:rsidR="005D07A6" w:rsidRDefault="00F42774">
      <w:pPr>
        <w:pStyle w:val="TexteEnonceQuestion"/>
      </w:pPr>
      <w:r>
        <w:t>a)</w:t>
      </w:r>
      <w:r>
        <w:tab/>
        <w:t>Calculez les coûts d’achat des agglomérés et des filtres B.</w:t>
      </w:r>
    </w:p>
    <w:p w14:paraId="693F94D3" w14:textId="77777777" w:rsidR="005D07A6" w:rsidRDefault="00F42774">
      <w:pPr>
        <w:pStyle w:val="TexteEnonceQuestion"/>
      </w:pPr>
      <w:r>
        <w:t>b)</w:t>
      </w:r>
      <w:r>
        <w:tab/>
        <w:t>Présentez les fiches de stocks de tous les composants et matières consommables achetés à l’extérieur.</w:t>
      </w:r>
    </w:p>
    <w:p w14:paraId="473D43D6" w14:textId="77777777" w:rsidR="005D07A6" w:rsidRDefault="00F42774">
      <w:pPr>
        <w:pStyle w:val="TexteEnonceQuestion"/>
      </w:pPr>
      <w:r>
        <w:t>c)</w:t>
      </w:r>
      <w:r>
        <w:tab/>
        <w:t>Calculez le coût des haut-parleurs aigus et graves préparés.</w:t>
      </w:r>
    </w:p>
    <w:p w14:paraId="146032C6" w14:textId="77777777" w:rsidR="005D07A6" w:rsidRDefault="00F42774">
      <w:pPr>
        <w:pStyle w:val="TexteEnonceQuestion"/>
      </w:pPr>
      <w:r>
        <w:t>d)</w:t>
      </w:r>
      <w:r>
        <w:tab/>
        <w:t>Présentez les fiches de stock des haut-parleurs aigus et graves.</w:t>
      </w:r>
    </w:p>
    <w:p w14:paraId="49889B17" w14:textId="77777777" w:rsidR="005D07A6" w:rsidRDefault="00F42774">
      <w:pPr>
        <w:pStyle w:val="TexteEnonceQuestion"/>
      </w:pPr>
      <w:r>
        <w:t>e)</w:t>
      </w:r>
      <w:r>
        <w:tab/>
        <w:t>Calculez le coût de production des HP médium.</w:t>
      </w:r>
    </w:p>
    <w:p w14:paraId="18B28DEF" w14:textId="77777777" w:rsidR="005D07A6" w:rsidRDefault="00F42774">
      <w:pPr>
        <w:pStyle w:val="TexteEnonceQuestion"/>
      </w:pPr>
      <w:r>
        <w:t>f)</w:t>
      </w:r>
      <w:r>
        <w:tab/>
        <w:t>Présentez la fiche de stocks des HP médium.</w:t>
      </w:r>
    </w:p>
    <w:p w14:paraId="14FBD5BB" w14:textId="77777777" w:rsidR="005D07A6" w:rsidRDefault="00F42774">
      <w:pPr>
        <w:pStyle w:val="TexteEnonceQuestion"/>
      </w:pPr>
      <w:r>
        <w:t>g)</w:t>
      </w:r>
      <w:r>
        <w:tab/>
        <w:t>Calculez le coût de production des boîtiers.</w:t>
      </w:r>
    </w:p>
    <w:p w14:paraId="1C431A7D" w14:textId="77777777" w:rsidR="005D07A6" w:rsidRDefault="00F42774">
      <w:pPr>
        <w:pStyle w:val="TexteEnonceQuestion"/>
      </w:pPr>
      <w:r>
        <w:t>h)</w:t>
      </w:r>
      <w:r>
        <w:tab/>
        <w:t>Calculez le coût de production des enceintes C et HF.</w:t>
      </w:r>
    </w:p>
    <w:p w14:paraId="555BDFB0" w14:textId="77777777" w:rsidR="005D07A6" w:rsidRDefault="00F42774">
      <w:pPr>
        <w:pStyle w:val="TexteEnonceQuestion"/>
      </w:pPr>
      <w:r>
        <w:t>i)</w:t>
      </w:r>
      <w:r>
        <w:tab/>
        <w:t>Présentez la fiche de stock des enceintes C et HF.</w:t>
      </w:r>
    </w:p>
    <w:p w14:paraId="40A13835" w14:textId="77777777" w:rsidR="005D07A6" w:rsidRDefault="00F42774">
      <w:pPr>
        <w:pStyle w:val="TexteEnonceQuestion"/>
      </w:pPr>
      <w:r>
        <w:lastRenderedPageBreak/>
        <w:t>j)</w:t>
      </w:r>
      <w:r>
        <w:tab/>
        <w:t>Calculez les coûts de revient et les résultats analytiques pour les enceintes C et HF.</w:t>
      </w:r>
    </w:p>
    <w:p w14:paraId="03F617DC" w14:textId="77777777" w:rsidR="005D07A6" w:rsidRDefault="00F42774">
      <w:pPr>
        <w:pStyle w:val="TexteEnonceQuestion"/>
      </w:pPr>
      <w:r>
        <w:rPr>
          <w:rStyle w:val="NEnonceQuestion"/>
        </w:rPr>
        <w:t>3. </w:t>
      </w:r>
      <w:r>
        <w:t>Concordance avec la comptabilité financière.</w:t>
      </w:r>
    </w:p>
    <w:p w14:paraId="12FDF4CB" w14:textId="77777777" w:rsidR="005D07A6" w:rsidRDefault="00F42774">
      <w:pPr>
        <w:pStyle w:val="TexteEnonceQuestion"/>
      </w:pPr>
      <w:r>
        <w:t>a)</w:t>
      </w:r>
      <w:r>
        <w:tab/>
        <w:t>Déterminez le résultat de l’entreprise à partir des résultats analytiques.</w:t>
      </w:r>
    </w:p>
    <w:p w14:paraId="33A4C71F" w14:textId="77777777" w:rsidR="005D07A6" w:rsidRDefault="00F42774">
      <w:pPr>
        <w:pStyle w:val="TexteEnonceQuestion"/>
      </w:pPr>
      <w:r>
        <w:t>b)</w:t>
      </w:r>
      <w:r>
        <w:tab/>
        <w:t>Vérifiez en présentant le compte de résultat de la comptabilité financière.</w:t>
      </w:r>
    </w:p>
    <w:p w14:paraId="5377ACA7" w14:textId="77777777" w:rsidR="005D07A6" w:rsidRDefault="00F42774">
      <w:pPr>
        <w:pStyle w:val="debutfiletr"/>
      </w:pPr>
      <w:r>
        <w:t>Annexes</w:t>
      </w:r>
    </w:p>
    <w:p w14:paraId="31276BF2" w14:textId="77777777" w:rsidR="005D07A6" w:rsidRDefault="00F42774">
      <w:pPr>
        <w:pStyle w:val="debutfilet"/>
      </w:pPr>
      <w:r>
        <w:t>Annexe</w:t>
      </w:r>
    </w:p>
    <w:p w14:paraId="5064DE42" w14:textId="77777777" w:rsidR="005D07A6" w:rsidRDefault="00F42774">
      <w:pPr>
        <w:pStyle w:val="LibelleRubrique"/>
      </w:pPr>
      <w:r>
        <w:t>Annexe</w:t>
      </w:r>
    </w:p>
    <w:p w14:paraId="48AF5E6C" w14:textId="77777777" w:rsidR="005D07A6" w:rsidRDefault="00F42774">
      <w:pPr>
        <w:pStyle w:val="TRubriqueFin"/>
      </w:pPr>
      <w:r>
        <w:t>Répartition des charges indirectes</w:t>
      </w:r>
    </w:p>
    <w:tbl>
      <w:tblPr>
        <w:tblW w:w="7399" w:type="dxa"/>
        <w:tblInd w:w="1701" w:type="dxa"/>
        <w:tblLook w:val="04A0" w:firstRow="1" w:lastRow="0" w:firstColumn="1" w:lastColumn="0" w:noHBand="0" w:noVBand="1"/>
      </w:tblPr>
      <w:tblGrid>
        <w:gridCol w:w="1281"/>
        <w:gridCol w:w="661"/>
        <w:gridCol w:w="461"/>
        <w:gridCol w:w="481"/>
        <w:gridCol w:w="581"/>
        <w:gridCol w:w="691"/>
        <w:gridCol w:w="631"/>
        <w:gridCol w:w="701"/>
        <w:gridCol w:w="681"/>
        <w:gridCol w:w="875"/>
        <w:gridCol w:w="631"/>
        <w:gridCol w:w="1201"/>
      </w:tblGrid>
      <w:tr w:rsidR="005D07A6" w14:paraId="0CF0B143" w14:textId="77777777">
        <w:tc>
          <w:tcPr>
            <w:tcW w:w="1185" w:type="dxa"/>
            <w:tcBorders>
              <w:top w:val="nil"/>
              <w:left w:val="nil"/>
              <w:bottom w:val="single" w:sz="4" w:space="0" w:color="auto"/>
              <w:right w:val="single" w:sz="4" w:space="0" w:color="auto"/>
            </w:tcBorders>
            <w:tcMar>
              <w:top w:w="0" w:type="dxa"/>
              <w:left w:w="2" w:type="dxa"/>
              <w:bottom w:w="0" w:type="dxa"/>
              <w:right w:w="2" w:type="dxa"/>
            </w:tcMar>
            <w:hideMark/>
          </w:tcPr>
          <w:p w14:paraId="0AC623EA" w14:textId="77777777" w:rsidR="005D07A6" w:rsidRDefault="005D07A6"/>
        </w:tc>
        <w:tc>
          <w:tcPr>
            <w:tcW w:w="46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E5C70D7" w14:textId="77777777" w:rsidR="005D07A6" w:rsidRDefault="00F42774">
            <w:pPr>
              <w:pStyle w:val="TA1"/>
              <w:jc w:val="center"/>
              <w:rPr>
                <w:rFonts w:eastAsiaTheme="minorEastAsia"/>
              </w:rPr>
            </w:pPr>
            <w:r>
              <w:rPr>
                <w:b/>
                <w:bCs/>
              </w:rPr>
              <w:t>Total</w:t>
            </w:r>
          </w:p>
        </w:tc>
        <w:tc>
          <w:tcPr>
            <w:tcW w:w="34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B61E815" w14:textId="77777777" w:rsidR="005D07A6" w:rsidRDefault="00F42774">
            <w:pPr>
              <w:pStyle w:val="TA1"/>
              <w:jc w:val="center"/>
              <w:rPr>
                <w:rFonts w:eastAsiaTheme="minorEastAsia"/>
              </w:rPr>
            </w:pPr>
            <w:r>
              <w:rPr>
                <w:b/>
                <w:bCs/>
              </w:rPr>
              <w:t>Adm.</w:t>
            </w:r>
          </w:p>
        </w:tc>
        <w:tc>
          <w:tcPr>
            <w:tcW w:w="34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61150C3" w14:textId="77777777" w:rsidR="005D07A6" w:rsidRDefault="00F42774">
            <w:pPr>
              <w:pStyle w:val="TA1"/>
              <w:jc w:val="center"/>
              <w:rPr>
                <w:rFonts w:eastAsiaTheme="minorEastAsia"/>
              </w:rPr>
            </w:pPr>
            <w:r>
              <w:rPr>
                <w:b/>
                <w:bCs/>
              </w:rPr>
              <w:t>Tests</w:t>
            </w:r>
          </w:p>
        </w:tc>
        <w:tc>
          <w:tcPr>
            <w:tcW w:w="34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154084F" w14:textId="77777777" w:rsidR="005D07A6" w:rsidRDefault="00F42774">
            <w:pPr>
              <w:pStyle w:val="TA1"/>
              <w:jc w:val="center"/>
              <w:rPr>
                <w:rFonts w:eastAsiaTheme="minorEastAsia"/>
              </w:rPr>
            </w:pPr>
            <w:r>
              <w:rPr>
                <w:b/>
                <w:bCs/>
              </w:rPr>
              <w:t>Essais</w:t>
            </w:r>
          </w:p>
        </w:tc>
        <w:tc>
          <w:tcPr>
            <w:tcW w:w="49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FCF6C69" w14:textId="77777777" w:rsidR="005D07A6" w:rsidRDefault="00F42774">
            <w:pPr>
              <w:pStyle w:val="TA1"/>
              <w:jc w:val="center"/>
              <w:rPr>
                <w:rFonts w:eastAsiaTheme="minorEastAsia"/>
              </w:rPr>
            </w:pPr>
            <w:r>
              <w:rPr>
                <w:b/>
                <w:bCs/>
              </w:rPr>
              <w:t>Approv.</w:t>
            </w:r>
          </w:p>
        </w:tc>
        <w:tc>
          <w:tcPr>
            <w:tcW w:w="39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37EA3FB" w14:textId="77777777" w:rsidR="005D07A6" w:rsidRDefault="00F42774">
            <w:pPr>
              <w:pStyle w:val="TA1"/>
              <w:jc w:val="center"/>
              <w:rPr>
                <w:rFonts w:eastAsiaTheme="minorEastAsia"/>
              </w:rPr>
            </w:pPr>
            <w:r>
              <w:rPr>
                <w:b/>
                <w:bCs/>
              </w:rPr>
              <w:t>Prépar. HP aigus et graves</w:t>
            </w:r>
          </w:p>
        </w:tc>
        <w:tc>
          <w:tcPr>
            <w:tcW w:w="34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C659D20" w14:textId="77777777" w:rsidR="005D07A6" w:rsidRDefault="00F42774">
            <w:pPr>
              <w:pStyle w:val="TA1"/>
              <w:jc w:val="center"/>
              <w:rPr>
                <w:rFonts w:eastAsiaTheme="minorEastAsia"/>
              </w:rPr>
            </w:pPr>
            <w:r>
              <w:rPr>
                <w:b/>
                <w:bCs/>
              </w:rPr>
              <w:t>Fabric. HP médium</w:t>
            </w:r>
          </w:p>
        </w:tc>
        <w:tc>
          <w:tcPr>
            <w:tcW w:w="40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149BB03" w14:textId="77777777" w:rsidR="005D07A6" w:rsidRDefault="00F42774">
            <w:pPr>
              <w:pStyle w:val="TA1"/>
              <w:jc w:val="center"/>
              <w:rPr>
                <w:rFonts w:eastAsiaTheme="minorEastAsia"/>
              </w:rPr>
            </w:pPr>
            <w:r>
              <w:rPr>
                <w:b/>
                <w:bCs/>
              </w:rPr>
              <w:t>Menuis.</w:t>
            </w:r>
          </w:p>
        </w:tc>
        <w:tc>
          <w:tcPr>
            <w:tcW w:w="49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4985747" w14:textId="77777777" w:rsidR="005D07A6" w:rsidRDefault="00F42774">
            <w:pPr>
              <w:pStyle w:val="TA1"/>
              <w:jc w:val="center"/>
              <w:rPr>
                <w:rFonts w:eastAsiaTheme="minorEastAsia"/>
              </w:rPr>
            </w:pPr>
            <w:r>
              <w:rPr>
                <w:b/>
                <w:bCs/>
              </w:rPr>
              <w:t>Montage</w:t>
            </w:r>
          </w:p>
        </w:tc>
        <w:tc>
          <w:tcPr>
            <w:tcW w:w="48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3591BEE" w14:textId="77777777" w:rsidR="005D07A6" w:rsidRDefault="00F42774">
            <w:pPr>
              <w:pStyle w:val="TA1"/>
              <w:jc w:val="center"/>
              <w:rPr>
                <w:rFonts w:eastAsiaTheme="minorEastAsia"/>
              </w:rPr>
            </w:pPr>
            <w:r>
              <w:rPr>
                <w:b/>
                <w:bCs/>
              </w:rPr>
              <w:t>Distrib.</w:t>
            </w:r>
          </w:p>
        </w:tc>
        <w:tc>
          <w:tcPr>
            <w:tcW w:w="25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C914AD6" w14:textId="77777777" w:rsidR="005D07A6" w:rsidRDefault="00F42774">
            <w:pPr>
              <w:pStyle w:val="TA1"/>
              <w:jc w:val="center"/>
              <w:rPr>
                <w:rFonts w:eastAsiaTheme="minorEastAsia"/>
              </w:rPr>
            </w:pPr>
            <w:r>
              <w:rPr>
                <w:b/>
                <w:bCs/>
              </w:rPr>
              <w:t>Charges non incorporables</w:t>
            </w:r>
          </w:p>
        </w:tc>
      </w:tr>
      <w:tr w:rsidR="005D07A6" w14:paraId="1D5B92FB" w14:textId="77777777">
        <w:tc>
          <w:tcPr>
            <w:tcW w:w="118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vAlign w:val="center"/>
            <w:hideMark/>
          </w:tcPr>
          <w:p w14:paraId="08CD0FB1" w14:textId="77777777" w:rsidR="005D07A6" w:rsidRDefault="00F42774">
            <w:pPr>
              <w:pStyle w:val="TA1"/>
              <w:rPr>
                <w:rFonts w:eastAsiaTheme="minorEastAsia"/>
              </w:rPr>
            </w:pPr>
            <w:r>
              <w:rPr>
                <w:b/>
                <w:bCs/>
              </w:rPr>
              <w:t>MC utilisées</w:t>
            </w:r>
          </w:p>
          <w:p w14:paraId="3DDF9D31" w14:textId="77777777" w:rsidR="005D07A6" w:rsidRDefault="00F42774">
            <w:pPr>
              <w:pStyle w:val="TA1"/>
            </w:pPr>
            <w:r>
              <w:rPr>
                <w:b/>
                <w:bCs/>
              </w:rPr>
              <w:t>Charges et dotations</w:t>
            </w:r>
          </w:p>
          <w:p w14:paraId="469E3ADD" w14:textId="77777777" w:rsidR="005D07A6" w:rsidRDefault="00F42774">
            <w:pPr>
              <w:pStyle w:val="TA1"/>
              <w:rPr>
                <w:rFonts w:eastAsiaTheme="minorEastAsia"/>
              </w:rPr>
            </w:pPr>
            <w:r>
              <w:rPr>
                <w:b/>
                <w:bCs/>
              </w:rPr>
              <w:t>Charges supplétives</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F4516DD" w14:textId="77777777" w:rsidR="005D07A6" w:rsidRDefault="00F42774">
            <w:pPr>
              <w:pStyle w:val="TA1"/>
              <w:jc w:val="right"/>
              <w:rPr>
                <w:rFonts w:eastAsiaTheme="minorEastAsia"/>
              </w:rPr>
            </w:pPr>
            <w:r>
              <w:t>8 000</w:t>
            </w:r>
          </w:p>
          <w:p w14:paraId="588AE94F" w14:textId="77777777" w:rsidR="005D07A6" w:rsidRDefault="00F42774">
            <w:pPr>
              <w:pStyle w:val="TA1"/>
              <w:jc w:val="right"/>
            </w:pPr>
            <w:r>
              <w:t>85 900</w:t>
            </w:r>
          </w:p>
          <w:p w14:paraId="64257169" w14:textId="77777777" w:rsidR="005D07A6" w:rsidRDefault="00F42774">
            <w:pPr>
              <w:pStyle w:val="TA1"/>
              <w:jc w:val="right"/>
              <w:rPr>
                <w:rFonts w:eastAsiaTheme="minorEastAsia"/>
              </w:rPr>
            </w:pPr>
            <w:r>
              <w:t>10 000</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B7CB0B3" w14:textId="77777777" w:rsidR="005D07A6" w:rsidRDefault="00F42774">
            <w:pPr>
              <w:pStyle w:val="TA1"/>
              <w:jc w:val="right"/>
              <w:rPr>
                <w:rFonts w:eastAsiaTheme="minorEastAsia"/>
              </w:rPr>
            </w:pPr>
            <w:r>
              <w:t>2 200</w:t>
            </w:r>
          </w:p>
          <w:p w14:paraId="4993778D" w14:textId="77777777" w:rsidR="005D07A6" w:rsidRDefault="00F42774">
            <w:pPr>
              <w:pStyle w:val="TA1"/>
              <w:jc w:val="right"/>
              <w:rPr>
                <w:rFonts w:eastAsiaTheme="minorEastAsia"/>
              </w:rPr>
            </w:pPr>
            <w:r>
              <w:t>800</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95E42BA" w14:textId="77777777" w:rsidR="005D07A6" w:rsidRDefault="00F42774">
            <w:pPr>
              <w:pStyle w:val="TA1"/>
              <w:jc w:val="right"/>
              <w:rPr>
                <w:rFonts w:eastAsiaTheme="minorEastAsia"/>
              </w:rPr>
            </w:pPr>
            <w:r>
              <w:t>4 020</w:t>
            </w:r>
          </w:p>
          <w:p w14:paraId="70329FA0" w14:textId="77777777" w:rsidR="005D07A6" w:rsidRDefault="00F42774">
            <w:pPr>
              <w:pStyle w:val="TA1"/>
              <w:jc w:val="right"/>
              <w:rPr>
                <w:rFonts w:eastAsiaTheme="minorEastAsia"/>
              </w:rPr>
            </w:pPr>
            <w:r>
              <w:t>1 800</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122B6F5" w14:textId="77777777" w:rsidR="005D07A6" w:rsidRDefault="00F42774">
            <w:pPr>
              <w:pStyle w:val="TA1"/>
              <w:jc w:val="right"/>
              <w:rPr>
                <w:rFonts w:eastAsiaTheme="minorEastAsia"/>
              </w:rPr>
            </w:pPr>
            <w:r>
              <w:t>3 220</w:t>
            </w:r>
          </w:p>
          <w:p w14:paraId="0BD1BC55" w14:textId="77777777" w:rsidR="005D07A6" w:rsidRDefault="00F42774">
            <w:pPr>
              <w:pStyle w:val="TA1"/>
              <w:jc w:val="right"/>
              <w:rPr>
                <w:rFonts w:eastAsiaTheme="minorEastAsia"/>
              </w:rPr>
            </w:pPr>
            <w:r>
              <w:t>800</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832CEDE" w14:textId="77777777" w:rsidR="005D07A6" w:rsidRDefault="00F42774">
            <w:pPr>
              <w:pStyle w:val="TA1"/>
              <w:jc w:val="right"/>
              <w:rPr>
                <w:rFonts w:eastAsiaTheme="minorEastAsia"/>
              </w:rPr>
            </w:pPr>
            <w:r>
              <w:t>4 030</w:t>
            </w:r>
          </w:p>
          <w:p w14:paraId="2036C0CA" w14:textId="77777777" w:rsidR="005D07A6" w:rsidRDefault="00F42774">
            <w:pPr>
              <w:pStyle w:val="TA1"/>
              <w:jc w:val="right"/>
              <w:rPr>
                <w:rFonts w:eastAsiaTheme="minorEastAsia"/>
              </w:rPr>
            </w:pPr>
            <w:r>
              <w:t>500</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F8ECA50" w14:textId="77777777" w:rsidR="005D07A6" w:rsidRDefault="00F42774">
            <w:pPr>
              <w:pStyle w:val="TA1"/>
              <w:jc w:val="right"/>
              <w:rPr>
                <w:rFonts w:eastAsiaTheme="minorEastAsia"/>
              </w:rPr>
            </w:pPr>
            <w:r>
              <w:t>4 333</w:t>
            </w:r>
          </w:p>
          <w:p w14:paraId="53F46376" w14:textId="77777777" w:rsidR="005D07A6" w:rsidRDefault="00F42774">
            <w:pPr>
              <w:pStyle w:val="TA1"/>
              <w:jc w:val="right"/>
              <w:rPr>
                <w:rFonts w:eastAsiaTheme="minorEastAsia"/>
              </w:rPr>
            </w:pPr>
            <w:r>
              <w:t>500</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1987E35" w14:textId="77777777" w:rsidR="005D07A6" w:rsidRDefault="00F42774">
            <w:pPr>
              <w:pStyle w:val="TA1"/>
              <w:jc w:val="right"/>
              <w:rPr>
                <w:rFonts w:eastAsiaTheme="minorEastAsia"/>
              </w:rPr>
            </w:pPr>
            <w:r>
              <w:t>9 151</w:t>
            </w:r>
          </w:p>
          <w:p w14:paraId="322E9703" w14:textId="77777777" w:rsidR="005D07A6" w:rsidRDefault="00F42774">
            <w:pPr>
              <w:pStyle w:val="TA1"/>
              <w:jc w:val="right"/>
              <w:rPr>
                <w:rFonts w:eastAsiaTheme="minorEastAsia"/>
              </w:rPr>
            </w:pPr>
            <w:r>
              <w:t>500</w:t>
            </w:r>
          </w:p>
        </w:tc>
        <w:tc>
          <w:tcPr>
            <w:tcW w:w="4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0642D2D" w14:textId="77777777" w:rsidR="005D07A6" w:rsidRDefault="00F42774">
            <w:pPr>
              <w:pStyle w:val="TA1"/>
              <w:jc w:val="right"/>
              <w:rPr>
                <w:rFonts w:eastAsiaTheme="minorEastAsia"/>
              </w:rPr>
            </w:pPr>
            <w:r>
              <w:t>3 500</w:t>
            </w:r>
          </w:p>
          <w:p w14:paraId="5E25DE14" w14:textId="77777777" w:rsidR="005D07A6" w:rsidRDefault="00F42774">
            <w:pPr>
              <w:pStyle w:val="TA1"/>
              <w:jc w:val="right"/>
            </w:pPr>
            <w:r>
              <w:t>25 750</w:t>
            </w:r>
          </w:p>
          <w:p w14:paraId="6DC59116" w14:textId="77777777" w:rsidR="005D07A6" w:rsidRDefault="00F42774">
            <w:pPr>
              <w:pStyle w:val="TA1"/>
              <w:jc w:val="right"/>
              <w:rPr>
                <w:rFonts w:eastAsiaTheme="minorEastAsia"/>
              </w:rPr>
            </w:pPr>
            <w:r>
              <w:t>2 100</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F5BE171" w14:textId="77777777" w:rsidR="005D07A6" w:rsidRDefault="00F42774">
            <w:pPr>
              <w:pStyle w:val="TA1"/>
              <w:jc w:val="right"/>
              <w:rPr>
                <w:rFonts w:eastAsiaTheme="minorEastAsia"/>
              </w:rPr>
            </w:pPr>
            <w:r>
              <w:t>4 500</w:t>
            </w:r>
          </w:p>
          <w:p w14:paraId="12E48DFC" w14:textId="77777777" w:rsidR="005D07A6" w:rsidRDefault="00F42774">
            <w:pPr>
              <w:pStyle w:val="TA1"/>
              <w:jc w:val="right"/>
            </w:pPr>
            <w:r>
              <w:t>24 380</w:t>
            </w:r>
          </w:p>
          <w:p w14:paraId="6527BF88" w14:textId="77777777" w:rsidR="005D07A6" w:rsidRDefault="00F42774">
            <w:pPr>
              <w:pStyle w:val="TA1"/>
              <w:jc w:val="right"/>
              <w:rPr>
                <w:rFonts w:eastAsiaTheme="minorEastAsia"/>
              </w:rPr>
            </w:pPr>
            <w:r>
              <w:t>2 000</w:t>
            </w:r>
          </w:p>
        </w:tc>
        <w:tc>
          <w:tcPr>
            <w:tcW w:w="4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0EBAD15" w14:textId="77777777" w:rsidR="005D07A6" w:rsidRDefault="00F42774">
            <w:pPr>
              <w:pStyle w:val="TA1"/>
              <w:jc w:val="right"/>
              <w:rPr>
                <w:rFonts w:eastAsiaTheme="minorEastAsia"/>
              </w:rPr>
            </w:pPr>
            <w:r>
              <w:t>7 876</w:t>
            </w:r>
          </w:p>
          <w:p w14:paraId="2C5BCEF4" w14:textId="77777777" w:rsidR="005D07A6" w:rsidRDefault="00F42774">
            <w:pPr>
              <w:pStyle w:val="TA1"/>
              <w:jc w:val="right"/>
              <w:rPr>
                <w:rFonts w:eastAsiaTheme="minorEastAsia"/>
              </w:rPr>
            </w:pPr>
            <w:r>
              <w:t>1 000</w:t>
            </w:r>
          </w:p>
        </w:tc>
        <w:tc>
          <w:tcPr>
            <w:tcW w:w="2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91F35B0" w14:textId="77777777" w:rsidR="005D07A6" w:rsidRDefault="00F42774">
            <w:pPr>
              <w:pStyle w:val="TA1"/>
              <w:jc w:val="right"/>
              <w:rPr>
                <w:rFonts w:eastAsiaTheme="minorEastAsia"/>
              </w:rPr>
            </w:pPr>
            <w:r>
              <w:t>940</w:t>
            </w:r>
          </w:p>
        </w:tc>
      </w:tr>
      <w:tr w:rsidR="005D07A6" w14:paraId="58C3DB11" w14:textId="77777777">
        <w:tc>
          <w:tcPr>
            <w:tcW w:w="118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vAlign w:val="center"/>
            <w:hideMark/>
          </w:tcPr>
          <w:p w14:paraId="5D226C31" w14:textId="77777777" w:rsidR="005D07A6" w:rsidRDefault="00F42774">
            <w:pPr>
              <w:pStyle w:val="TA1"/>
              <w:rPr>
                <w:rFonts w:eastAsiaTheme="minorEastAsia"/>
              </w:rPr>
            </w:pPr>
            <w:r>
              <w:rPr>
                <w:b/>
                <w:bCs/>
              </w:rPr>
              <w:t>Totaux RP</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C9D78CF" w14:textId="77777777" w:rsidR="005D07A6" w:rsidRDefault="00F42774">
            <w:pPr>
              <w:pStyle w:val="TA1"/>
              <w:jc w:val="right"/>
              <w:rPr>
                <w:rFonts w:eastAsiaTheme="minorEastAsia"/>
              </w:rPr>
            </w:pPr>
            <w:r>
              <w:t>103 900</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0304AFC" w14:textId="77777777" w:rsidR="005D07A6" w:rsidRDefault="00F42774">
            <w:pPr>
              <w:pStyle w:val="TA1"/>
              <w:jc w:val="right"/>
              <w:rPr>
                <w:rFonts w:eastAsiaTheme="minorEastAsia"/>
              </w:rPr>
            </w:pPr>
            <w:r>
              <w:t>3 000</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7B9585A" w14:textId="77777777" w:rsidR="005D07A6" w:rsidRDefault="00F42774">
            <w:pPr>
              <w:pStyle w:val="TA1"/>
              <w:jc w:val="right"/>
              <w:rPr>
                <w:rFonts w:eastAsiaTheme="minorEastAsia"/>
              </w:rPr>
            </w:pPr>
            <w:r>
              <w:t>5 820</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C7F2E05" w14:textId="77777777" w:rsidR="005D07A6" w:rsidRDefault="00F42774">
            <w:pPr>
              <w:pStyle w:val="TA1"/>
              <w:jc w:val="right"/>
              <w:rPr>
                <w:rFonts w:eastAsiaTheme="minorEastAsia"/>
              </w:rPr>
            </w:pPr>
            <w:r>
              <w:t>4 020</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6152793" w14:textId="77777777" w:rsidR="005D07A6" w:rsidRDefault="00F42774">
            <w:pPr>
              <w:pStyle w:val="TA1"/>
              <w:jc w:val="right"/>
              <w:rPr>
                <w:rFonts w:eastAsiaTheme="minorEastAsia"/>
              </w:rPr>
            </w:pPr>
            <w:r>
              <w:t>4 530</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49BD6E4" w14:textId="77777777" w:rsidR="005D07A6" w:rsidRDefault="00F42774">
            <w:pPr>
              <w:pStyle w:val="TA1"/>
              <w:jc w:val="right"/>
              <w:rPr>
                <w:rFonts w:eastAsiaTheme="minorEastAsia"/>
              </w:rPr>
            </w:pPr>
            <w:r>
              <w:t>4 833</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98FD447" w14:textId="77777777" w:rsidR="005D07A6" w:rsidRDefault="00F42774">
            <w:pPr>
              <w:pStyle w:val="TA1"/>
              <w:jc w:val="right"/>
              <w:rPr>
                <w:rFonts w:eastAsiaTheme="minorEastAsia"/>
              </w:rPr>
            </w:pPr>
            <w:r>
              <w:t>9 651</w:t>
            </w:r>
          </w:p>
        </w:tc>
        <w:tc>
          <w:tcPr>
            <w:tcW w:w="4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DCF6D8D" w14:textId="77777777" w:rsidR="005D07A6" w:rsidRDefault="00F42774">
            <w:pPr>
              <w:pStyle w:val="TA1"/>
              <w:jc w:val="right"/>
              <w:rPr>
                <w:rFonts w:eastAsiaTheme="minorEastAsia"/>
              </w:rPr>
            </w:pPr>
            <w:r>
              <w:t>31 350</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9AA982E" w14:textId="77777777" w:rsidR="005D07A6" w:rsidRDefault="00F42774">
            <w:pPr>
              <w:pStyle w:val="TA1"/>
              <w:jc w:val="right"/>
              <w:rPr>
                <w:rFonts w:eastAsiaTheme="minorEastAsia"/>
              </w:rPr>
            </w:pPr>
            <w:r>
              <w:t>30 880</w:t>
            </w:r>
          </w:p>
        </w:tc>
        <w:tc>
          <w:tcPr>
            <w:tcW w:w="4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09D1460" w14:textId="77777777" w:rsidR="005D07A6" w:rsidRDefault="00F42774">
            <w:pPr>
              <w:pStyle w:val="TA1"/>
              <w:jc w:val="right"/>
              <w:rPr>
                <w:rFonts w:eastAsiaTheme="minorEastAsia"/>
              </w:rPr>
            </w:pPr>
            <w:r>
              <w:t>8 876</w:t>
            </w:r>
          </w:p>
        </w:tc>
        <w:tc>
          <w:tcPr>
            <w:tcW w:w="2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5235D6D" w14:textId="77777777" w:rsidR="005D07A6" w:rsidRDefault="00F42774">
            <w:pPr>
              <w:pStyle w:val="TA1"/>
              <w:jc w:val="right"/>
              <w:rPr>
                <w:rFonts w:eastAsiaTheme="minorEastAsia"/>
              </w:rPr>
            </w:pPr>
            <w:r>
              <w:t>940</w:t>
            </w:r>
          </w:p>
        </w:tc>
      </w:tr>
      <w:tr w:rsidR="005D07A6" w14:paraId="32838CA0" w14:textId="77777777">
        <w:tc>
          <w:tcPr>
            <w:tcW w:w="118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vAlign w:val="center"/>
            <w:hideMark/>
          </w:tcPr>
          <w:p w14:paraId="6CB7F08E" w14:textId="77777777" w:rsidR="005D07A6" w:rsidRDefault="00F42774">
            <w:pPr>
              <w:pStyle w:val="TA1"/>
              <w:rPr>
                <w:rFonts w:eastAsiaTheme="minorEastAsia"/>
              </w:rPr>
            </w:pPr>
            <w:r>
              <w:rPr>
                <w:b/>
                <w:bCs/>
              </w:rPr>
              <w:t>Administration</w:t>
            </w:r>
          </w:p>
          <w:p w14:paraId="679463C8" w14:textId="77777777" w:rsidR="005D07A6" w:rsidRDefault="00F42774">
            <w:pPr>
              <w:pStyle w:val="TA1"/>
            </w:pPr>
            <w:r>
              <w:rPr>
                <w:b/>
                <w:bCs/>
              </w:rPr>
              <w:t>Tests</w:t>
            </w:r>
          </w:p>
          <w:p w14:paraId="42C4D496" w14:textId="77777777" w:rsidR="005D07A6" w:rsidRDefault="00F42774">
            <w:pPr>
              <w:pStyle w:val="TA1"/>
              <w:rPr>
                <w:rFonts w:eastAsiaTheme="minorEastAsia"/>
              </w:rPr>
            </w:pPr>
            <w:r>
              <w:rPr>
                <w:b/>
                <w:bCs/>
              </w:rPr>
              <w:t>Essais</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41C4BAC"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C8FBC69" w14:textId="77777777" w:rsidR="005D07A6" w:rsidRDefault="00F42774">
            <w:pPr>
              <w:pStyle w:val="TA1"/>
              <w:jc w:val="right"/>
              <w:rPr>
                <w:rFonts w:eastAsiaTheme="minorEastAsia"/>
              </w:rPr>
            </w:pPr>
            <w:r>
              <w:t>– 100</w:t>
            </w:r>
          </w:p>
          <w:p w14:paraId="513BC117" w14:textId="77777777" w:rsidR="005D07A6" w:rsidRDefault="00F42774">
            <w:pPr>
              <w:pStyle w:val="TA1"/>
              <w:jc w:val="right"/>
              <w:rPr>
                <w:rFonts w:eastAsiaTheme="minorEastAsia"/>
              </w:rPr>
            </w:pPr>
            <w:r>
              <w:t>10</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C6B6AFD" w14:textId="77777777" w:rsidR="005D07A6" w:rsidRDefault="00F42774">
            <w:pPr>
              <w:pStyle w:val="TA1"/>
              <w:jc w:val="right"/>
              <w:rPr>
                <w:rFonts w:eastAsiaTheme="minorEastAsia"/>
              </w:rPr>
            </w:pPr>
            <w:r>
              <w:t>5</w:t>
            </w:r>
          </w:p>
          <w:p w14:paraId="3FF471BC" w14:textId="77777777" w:rsidR="005D07A6" w:rsidRDefault="00F42774">
            <w:pPr>
              <w:pStyle w:val="TA1"/>
              <w:jc w:val="right"/>
              <w:rPr>
                <w:rFonts w:eastAsiaTheme="minorEastAsia"/>
              </w:rPr>
            </w:pPr>
            <w:r>
              <w:t>– 100</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FBBFCA9" w14:textId="77777777" w:rsidR="005D07A6" w:rsidRDefault="00F42774">
            <w:pPr>
              <w:pStyle w:val="TA1"/>
              <w:jc w:val="right"/>
              <w:rPr>
                <w:rFonts w:eastAsiaTheme="minorEastAsia"/>
              </w:rPr>
            </w:pPr>
            <w:r>
              <w:t>5</w:t>
            </w:r>
          </w:p>
          <w:p w14:paraId="09D89E30" w14:textId="77777777" w:rsidR="005D07A6" w:rsidRDefault="00F42774">
            <w:pPr>
              <w:pStyle w:val="TA1"/>
              <w:jc w:val="right"/>
            </w:pPr>
            <w:r>
              <w:t>10</w:t>
            </w:r>
          </w:p>
          <w:p w14:paraId="56395328" w14:textId="77777777" w:rsidR="005D07A6" w:rsidRDefault="00F42774">
            <w:pPr>
              <w:pStyle w:val="TA1"/>
              <w:jc w:val="right"/>
              <w:rPr>
                <w:rFonts w:eastAsiaTheme="minorEastAsia"/>
              </w:rPr>
            </w:pPr>
            <w:r>
              <w:t>– 100</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037F674" w14:textId="77777777" w:rsidR="005D07A6" w:rsidRDefault="00F42774">
            <w:pPr>
              <w:pStyle w:val="TA1"/>
              <w:jc w:val="right"/>
              <w:rPr>
                <w:rFonts w:eastAsiaTheme="minorEastAsia"/>
              </w:rPr>
            </w:pPr>
            <w:r>
              <w:t>20</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DF6A093" w14:textId="77777777" w:rsidR="005D07A6" w:rsidRDefault="00F42774">
            <w:pPr>
              <w:pStyle w:val="TA1"/>
              <w:jc w:val="right"/>
              <w:rPr>
                <w:rFonts w:eastAsiaTheme="minorEastAsia"/>
              </w:rPr>
            </w:pPr>
            <w:r>
              <w:t>5</w:t>
            </w:r>
          </w:p>
          <w:p w14:paraId="697AF88C" w14:textId="77777777" w:rsidR="005D07A6" w:rsidRDefault="00F42774">
            <w:pPr>
              <w:pStyle w:val="TA1"/>
              <w:jc w:val="right"/>
            </w:pPr>
            <w:r>
              <w:t>5</w:t>
            </w:r>
          </w:p>
          <w:p w14:paraId="2D9E0833" w14:textId="77777777" w:rsidR="005D07A6" w:rsidRDefault="00F42774">
            <w:pPr>
              <w:pStyle w:val="TA1"/>
              <w:jc w:val="right"/>
              <w:rPr>
                <w:rFonts w:eastAsiaTheme="minorEastAsia"/>
              </w:rPr>
            </w:pPr>
            <w:r>
              <w:t>2</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2AD513D" w14:textId="77777777" w:rsidR="005D07A6" w:rsidRDefault="00F42774">
            <w:pPr>
              <w:pStyle w:val="TA1"/>
              <w:jc w:val="right"/>
              <w:rPr>
                <w:rFonts w:eastAsiaTheme="minorEastAsia"/>
              </w:rPr>
            </w:pPr>
            <w:r>
              <w:t>15</w:t>
            </w:r>
          </w:p>
          <w:p w14:paraId="6E125A4A" w14:textId="77777777" w:rsidR="005D07A6" w:rsidRDefault="00F42774">
            <w:pPr>
              <w:pStyle w:val="TA1"/>
              <w:jc w:val="right"/>
            </w:pPr>
            <w:r>
              <w:t>5</w:t>
            </w:r>
          </w:p>
          <w:p w14:paraId="511EAD83" w14:textId="77777777" w:rsidR="005D07A6" w:rsidRDefault="00F42774">
            <w:pPr>
              <w:pStyle w:val="TA1"/>
              <w:jc w:val="right"/>
              <w:rPr>
                <w:rFonts w:eastAsiaTheme="minorEastAsia"/>
              </w:rPr>
            </w:pPr>
            <w:r>
              <w:t>8</w:t>
            </w:r>
          </w:p>
        </w:tc>
        <w:tc>
          <w:tcPr>
            <w:tcW w:w="4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0F35255" w14:textId="77777777" w:rsidR="005D07A6" w:rsidRDefault="00F42774">
            <w:pPr>
              <w:pStyle w:val="TA1"/>
              <w:jc w:val="right"/>
              <w:rPr>
                <w:rFonts w:eastAsiaTheme="minorEastAsia"/>
              </w:rPr>
            </w:pPr>
            <w:r>
              <w:t>20</w:t>
            </w:r>
          </w:p>
          <w:p w14:paraId="31AA5541" w14:textId="77777777" w:rsidR="005D07A6" w:rsidRDefault="00F42774">
            <w:pPr>
              <w:pStyle w:val="TA1"/>
              <w:jc w:val="right"/>
              <w:rPr>
                <w:rFonts w:eastAsiaTheme="minorEastAsia"/>
              </w:rPr>
            </w:pPr>
            <w:r>
              <w:t>10</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E95784D" w14:textId="77777777" w:rsidR="005D07A6" w:rsidRDefault="00F42774">
            <w:pPr>
              <w:pStyle w:val="TA1"/>
              <w:jc w:val="right"/>
              <w:rPr>
                <w:rFonts w:eastAsiaTheme="minorEastAsia"/>
              </w:rPr>
            </w:pPr>
            <w:r>
              <w:t>20</w:t>
            </w:r>
          </w:p>
          <w:p w14:paraId="77350C11" w14:textId="77777777" w:rsidR="005D07A6" w:rsidRDefault="00F42774">
            <w:pPr>
              <w:pStyle w:val="TA1"/>
              <w:jc w:val="right"/>
            </w:pPr>
            <w:r>
              <w:t>70</w:t>
            </w:r>
          </w:p>
          <w:p w14:paraId="491CF02C" w14:textId="77777777" w:rsidR="005D07A6" w:rsidRDefault="00F42774">
            <w:pPr>
              <w:pStyle w:val="TA1"/>
              <w:jc w:val="right"/>
              <w:rPr>
                <w:rFonts w:eastAsiaTheme="minorEastAsia"/>
              </w:rPr>
            </w:pPr>
            <w:r>
              <w:t>80</w:t>
            </w:r>
          </w:p>
        </w:tc>
        <w:tc>
          <w:tcPr>
            <w:tcW w:w="4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6369588" w14:textId="77777777" w:rsidR="005D07A6" w:rsidRDefault="00F42774">
            <w:pPr>
              <w:pStyle w:val="TA1"/>
              <w:jc w:val="right"/>
              <w:rPr>
                <w:rFonts w:eastAsiaTheme="minorEastAsia"/>
              </w:rPr>
            </w:pPr>
            <w:r>
              <w:t>10</w:t>
            </w:r>
          </w:p>
        </w:tc>
        <w:tc>
          <w:tcPr>
            <w:tcW w:w="2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7138289" w14:textId="77777777" w:rsidR="005D07A6" w:rsidRDefault="005D07A6"/>
        </w:tc>
      </w:tr>
      <w:tr w:rsidR="005D07A6" w14:paraId="49601A26" w14:textId="77777777">
        <w:tc>
          <w:tcPr>
            <w:tcW w:w="118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vAlign w:val="center"/>
            <w:hideMark/>
          </w:tcPr>
          <w:p w14:paraId="7BB69B35" w14:textId="77777777" w:rsidR="005D07A6" w:rsidRDefault="00F42774">
            <w:pPr>
              <w:pStyle w:val="TA1"/>
              <w:rPr>
                <w:rFonts w:eastAsiaTheme="minorEastAsia"/>
              </w:rPr>
            </w:pPr>
            <w:r>
              <w:rPr>
                <w:b/>
                <w:bCs/>
              </w:rPr>
              <w:t>Nature de l’UO</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76D2C3A"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2467D2C"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53CBB22" w14:textId="77777777" w:rsidR="005D07A6" w:rsidRDefault="005D07A6"/>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5E3B908"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C3E2BCB" w14:textId="77777777" w:rsidR="005D07A6" w:rsidRDefault="00F42774">
            <w:pPr>
              <w:pStyle w:val="TA1"/>
              <w:jc w:val="center"/>
              <w:rPr>
                <w:rFonts w:eastAsiaTheme="minorEastAsia"/>
              </w:rPr>
            </w:pPr>
            <w:r>
              <w:t>100 € d’achats</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822D3F3" w14:textId="77777777" w:rsidR="005D07A6" w:rsidRDefault="00F42774">
            <w:pPr>
              <w:pStyle w:val="TA1"/>
              <w:jc w:val="center"/>
              <w:rPr>
                <w:rFonts w:eastAsiaTheme="minorEastAsia"/>
              </w:rPr>
            </w:pPr>
            <w:r>
              <w:t>1 HP</w:t>
            </w:r>
            <w:r>
              <w:rPr>
                <w:rStyle w:val="TaAppelNote"/>
              </w:rPr>
              <w:t>(1)</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B29FCDF" w14:textId="77777777" w:rsidR="005D07A6" w:rsidRDefault="005D07A6"/>
        </w:tc>
        <w:tc>
          <w:tcPr>
            <w:tcW w:w="4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4D6F0EC"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4E55598" w14:textId="77777777" w:rsidR="005D07A6" w:rsidRDefault="00F42774">
            <w:pPr>
              <w:pStyle w:val="TA1"/>
              <w:jc w:val="center"/>
              <w:rPr>
                <w:rFonts w:eastAsiaTheme="minorEastAsia"/>
              </w:rPr>
            </w:pPr>
            <w:r>
              <w:t>1 enceinte HF ou</w:t>
            </w:r>
          </w:p>
          <w:p w14:paraId="3D11631D" w14:textId="77777777" w:rsidR="005D07A6" w:rsidRDefault="00F42774">
            <w:pPr>
              <w:pStyle w:val="TA1"/>
              <w:jc w:val="center"/>
              <w:rPr>
                <w:rFonts w:eastAsiaTheme="minorEastAsia"/>
              </w:rPr>
            </w:pPr>
            <w:r>
              <w:t>équival.</w:t>
            </w:r>
            <w:r>
              <w:rPr>
                <w:rStyle w:val="TaAppelNote"/>
              </w:rPr>
              <w:t>(2)</w:t>
            </w:r>
          </w:p>
        </w:tc>
        <w:tc>
          <w:tcPr>
            <w:tcW w:w="4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F142088" w14:textId="77777777" w:rsidR="005D07A6" w:rsidRDefault="00F42774">
            <w:pPr>
              <w:pStyle w:val="TA1"/>
              <w:jc w:val="center"/>
              <w:rPr>
                <w:rFonts w:eastAsiaTheme="minorEastAsia"/>
              </w:rPr>
            </w:pPr>
            <w:r>
              <w:t>100 € de ventes</w:t>
            </w:r>
          </w:p>
        </w:tc>
        <w:tc>
          <w:tcPr>
            <w:tcW w:w="2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230E8CF" w14:textId="77777777" w:rsidR="005D07A6" w:rsidRDefault="005D07A6"/>
        </w:tc>
      </w:tr>
    </w:tbl>
    <w:p w14:paraId="06D8128D" w14:textId="77777777" w:rsidR="005D07A6" w:rsidRDefault="00F42774">
      <w:pPr>
        <w:pStyle w:val="TA3"/>
        <w:rPr>
          <w:rFonts w:eastAsiaTheme="minorEastAsia"/>
        </w:rPr>
      </w:pPr>
      <w:r>
        <w:t>1. Dans cet atelier, le coût indirect est le même pour un HP aigu et un HP grave.</w:t>
      </w:r>
    </w:p>
    <w:p w14:paraId="2A4C7088" w14:textId="77777777" w:rsidR="005D07A6" w:rsidRDefault="00F42774">
      <w:pPr>
        <w:pStyle w:val="TA3"/>
      </w:pPr>
      <w:r>
        <w:t>2. Dans cet atelier, le coût indirect d’une enceinte C est estimé à 75 % de celui d’une enceinte HF.</w:t>
      </w:r>
    </w:p>
    <w:p w14:paraId="5185EBEB" w14:textId="77777777" w:rsidR="005D07A6" w:rsidRDefault="00F42774">
      <w:pPr>
        <w:pStyle w:val="finfilet"/>
      </w:pPr>
      <w:r>
        <w:t>Fin Annexe</w:t>
      </w:r>
    </w:p>
    <w:p w14:paraId="19B88066" w14:textId="77777777" w:rsidR="005D07A6" w:rsidRDefault="00F42774">
      <w:pPr>
        <w:pStyle w:val="finfiletr"/>
      </w:pPr>
      <w:r>
        <w:t>Fin Annexes</w:t>
      </w:r>
    </w:p>
    <w:p w14:paraId="56227D5B" w14:textId="77777777" w:rsidR="005D07A6" w:rsidRDefault="00F42774">
      <w:pPr>
        <w:pStyle w:val="finfilet"/>
      </w:pPr>
      <w:r>
        <w:t>Fin Enonce</w:t>
      </w:r>
    </w:p>
    <w:p w14:paraId="042FDDA9" w14:textId="77777777" w:rsidR="005D07A6" w:rsidRDefault="00F42774">
      <w:pPr>
        <w:pStyle w:val="debutfilet"/>
      </w:pPr>
      <w:r>
        <w:t>Corrige</w:t>
      </w:r>
    </w:p>
    <w:p w14:paraId="3B574874" w14:textId="77777777" w:rsidR="005D07A6" w:rsidRDefault="00F42774">
      <w:pPr>
        <w:pStyle w:val="LibelleRubrique"/>
      </w:pPr>
      <w:r>
        <w:t>Corrigé</w:t>
      </w:r>
    </w:p>
    <w:p w14:paraId="1E835C7D" w14:textId="77777777" w:rsidR="005D07A6" w:rsidRDefault="00F42774">
      <w:pPr>
        <w:pStyle w:val="TNiv1"/>
      </w:pPr>
      <w:r>
        <w:rPr>
          <w:rStyle w:val="RefQuestion"/>
        </w:rPr>
        <w:t>1</w:t>
      </w:r>
      <w:r>
        <w:t>. Tableau de répartition des charges indirectes</w:t>
      </w:r>
    </w:p>
    <w:tbl>
      <w:tblPr>
        <w:tblW w:w="7479" w:type="dxa"/>
        <w:tblInd w:w="1701" w:type="dxa"/>
        <w:tblLook w:val="04A0" w:firstRow="1" w:lastRow="0" w:firstColumn="1" w:lastColumn="0" w:noHBand="0" w:noVBand="1"/>
      </w:tblPr>
      <w:tblGrid>
        <w:gridCol w:w="805"/>
        <w:gridCol w:w="661"/>
        <w:gridCol w:w="1281"/>
        <w:gridCol w:w="511"/>
        <w:gridCol w:w="581"/>
        <w:gridCol w:w="1701"/>
        <w:gridCol w:w="705"/>
        <w:gridCol w:w="701"/>
        <w:gridCol w:w="951"/>
        <w:gridCol w:w="750"/>
        <w:gridCol w:w="631"/>
        <w:gridCol w:w="1201"/>
      </w:tblGrid>
      <w:tr w:rsidR="005D07A6" w14:paraId="38E29FE2" w14:textId="77777777">
        <w:tc>
          <w:tcPr>
            <w:tcW w:w="855" w:type="dxa"/>
            <w:tcBorders>
              <w:top w:val="nil"/>
              <w:left w:val="nil"/>
              <w:bottom w:val="single" w:sz="4" w:space="0" w:color="auto"/>
              <w:right w:val="single" w:sz="4" w:space="0" w:color="auto"/>
            </w:tcBorders>
            <w:tcMar>
              <w:top w:w="0" w:type="dxa"/>
              <w:left w:w="2" w:type="dxa"/>
              <w:bottom w:w="0" w:type="dxa"/>
              <w:right w:w="2" w:type="dxa"/>
            </w:tcMar>
            <w:hideMark/>
          </w:tcPr>
          <w:p w14:paraId="307FF2CA" w14:textId="77777777" w:rsidR="005D07A6" w:rsidRDefault="005D07A6"/>
        </w:tc>
        <w:tc>
          <w:tcPr>
            <w:tcW w:w="45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791FEE2" w14:textId="77777777" w:rsidR="005D07A6" w:rsidRDefault="00F42774">
            <w:pPr>
              <w:pStyle w:val="TA1"/>
              <w:jc w:val="center"/>
              <w:rPr>
                <w:rFonts w:eastAsiaTheme="minorEastAsia"/>
              </w:rPr>
            </w:pPr>
            <w:r>
              <w:rPr>
                <w:b/>
                <w:bCs/>
              </w:rPr>
              <w:t>Total</w:t>
            </w:r>
          </w:p>
        </w:tc>
        <w:tc>
          <w:tcPr>
            <w:tcW w:w="4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6EBF339" w14:textId="77777777" w:rsidR="005D07A6" w:rsidRDefault="00F42774">
            <w:pPr>
              <w:pStyle w:val="TA1"/>
              <w:jc w:val="center"/>
              <w:rPr>
                <w:rFonts w:eastAsiaTheme="minorEastAsia"/>
              </w:rPr>
            </w:pPr>
            <w:r>
              <w:rPr>
                <w:b/>
                <w:bCs/>
              </w:rPr>
              <w:t>Administration</w:t>
            </w:r>
          </w:p>
        </w:tc>
        <w:tc>
          <w:tcPr>
            <w:tcW w:w="4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4DECAB7" w14:textId="77777777" w:rsidR="005D07A6" w:rsidRDefault="00F42774">
            <w:pPr>
              <w:pStyle w:val="TA1"/>
              <w:jc w:val="center"/>
              <w:rPr>
                <w:rFonts w:eastAsiaTheme="minorEastAsia"/>
              </w:rPr>
            </w:pPr>
            <w:r>
              <w:rPr>
                <w:b/>
                <w:bCs/>
              </w:rPr>
              <w:t>Tests</w:t>
            </w:r>
          </w:p>
        </w:tc>
        <w:tc>
          <w:tcPr>
            <w:tcW w:w="4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213B5D0" w14:textId="77777777" w:rsidR="005D07A6" w:rsidRDefault="00F42774">
            <w:pPr>
              <w:pStyle w:val="TA1"/>
              <w:jc w:val="center"/>
              <w:rPr>
                <w:rFonts w:eastAsiaTheme="minorEastAsia"/>
              </w:rPr>
            </w:pPr>
            <w:r>
              <w:rPr>
                <w:b/>
                <w:bCs/>
              </w:rPr>
              <w:t>Essais</w:t>
            </w:r>
          </w:p>
        </w:tc>
        <w:tc>
          <w:tcPr>
            <w:tcW w:w="51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9328C2F" w14:textId="77777777" w:rsidR="005D07A6" w:rsidRDefault="00F42774">
            <w:pPr>
              <w:pStyle w:val="TA1"/>
              <w:jc w:val="center"/>
              <w:rPr>
                <w:rFonts w:eastAsiaTheme="minorEastAsia"/>
              </w:rPr>
            </w:pPr>
            <w:r>
              <w:rPr>
                <w:b/>
                <w:bCs/>
              </w:rPr>
              <w:t>Approvisionnement</w:t>
            </w:r>
          </w:p>
        </w:tc>
        <w:tc>
          <w:tcPr>
            <w:tcW w:w="4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338B394" w14:textId="77777777" w:rsidR="005D07A6" w:rsidRDefault="00F42774">
            <w:pPr>
              <w:pStyle w:val="TA1"/>
              <w:jc w:val="center"/>
              <w:rPr>
                <w:rFonts w:eastAsiaTheme="minorEastAsia"/>
              </w:rPr>
            </w:pPr>
            <w:r>
              <w:rPr>
                <w:b/>
                <w:bCs/>
              </w:rPr>
              <w:t>Prépar.</w:t>
            </w:r>
          </w:p>
        </w:tc>
        <w:tc>
          <w:tcPr>
            <w:tcW w:w="4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14E10B4" w14:textId="77777777" w:rsidR="005D07A6" w:rsidRDefault="00F42774">
            <w:pPr>
              <w:pStyle w:val="TA1"/>
              <w:jc w:val="center"/>
              <w:rPr>
                <w:rFonts w:eastAsiaTheme="minorEastAsia"/>
              </w:rPr>
            </w:pPr>
            <w:r>
              <w:rPr>
                <w:b/>
                <w:bCs/>
              </w:rPr>
              <w:t>Fabric. HP médium</w:t>
            </w:r>
          </w:p>
        </w:tc>
        <w:tc>
          <w:tcPr>
            <w:tcW w:w="4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AE39E5C" w14:textId="77777777" w:rsidR="005D07A6" w:rsidRDefault="00F42774">
            <w:pPr>
              <w:pStyle w:val="TA1"/>
              <w:jc w:val="center"/>
              <w:rPr>
                <w:rFonts w:eastAsiaTheme="minorEastAsia"/>
              </w:rPr>
            </w:pPr>
            <w:r>
              <w:rPr>
                <w:b/>
                <w:bCs/>
              </w:rPr>
              <w:t>Menuiserie</w:t>
            </w:r>
          </w:p>
        </w:tc>
        <w:tc>
          <w:tcPr>
            <w:tcW w:w="46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93F0884" w14:textId="77777777" w:rsidR="005D07A6" w:rsidRDefault="00F42774">
            <w:pPr>
              <w:pStyle w:val="TA1"/>
              <w:jc w:val="center"/>
              <w:rPr>
                <w:rFonts w:eastAsiaTheme="minorEastAsia"/>
              </w:rPr>
            </w:pPr>
            <w:r>
              <w:rPr>
                <w:b/>
                <w:bCs/>
              </w:rPr>
              <w:t>Montage</w:t>
            </w:r>
          </w:p>
        </w:tc>
        <w:tc>
          <w:tcPr>
            <w:tcW w:w="46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236624F" w14:textId="77777777" w:rsidR="005D07A6" w:rsidRDefault="00F42774">
            <w:pPr>
              <w:pStyle w:val="TA1"/>
              <w:jc w:val="center"/>
              <w:rPr>
                <w:rFonts w:eastAsiaTheme="minorEastAsia"/>
              </w:rPr>
            </w:pPr>
            <w:r>
              <w:rPr>
                <w:b/>
                <w:bCs/>
              </w:rPr>
              <w:t>Distrib.</w:t>
            </w:r>
          </w:p>
        </w:tc>
        <w:tc>
          <w:tcPr>
            <w:tcW w:w="34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B662693" w14:textId="77777777" w:rsidR="005D07A6" w:rsidRDefault="00F42774">
            <w:pPr>
              <w:pStyle w:val="TA1"/>
              <w:jc w:val="center"/>
              <w:rPr>
                <w:rFonts w:eastAsiaTheme="minorEastAsia"/>
              </w:rPr>
            </w:pPr>
            <w:r>
              <w:rPr>
                <w:b/>
                <w:bCs/>
              </w:rPr>
              <w:t>Charges non incorporables</w:t>
            </w:r>
          </w:p>
        </w:tc>
      </w:tr>
      <w:tr w:rsidR="005D07A6" w14:paraId="3D8A2981" w14:textId="77777777">
        <w:tc>
          <w:tcPr>
            <w:tcW w:w="85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91C69B4" w14:textId="77777777" w:rsidR="005D07A6" w:rsidRDefault="00F42774">
            <w:pPr>
              <w:pStyle w:val="TA1"/>
              <w:rPr>
                <w:rFonts w:eastAsiaTheme="minorEastAsia"/>
              </w:rPr>
            </w:pPr>
            <w:r>
              <w:rPr>
                <w:b/>
                <w:bCs/>
              </w:rPr>
              <w:t>Totaux RP</w:t>
            </w:r>
          </w:p>
          <w:p w14:paraId="02101EF9" w14:textId="77777777" w:rsidR="005D07A6" w:rsidRDefault="00F42774">
            <w:pPr>
              <w:pStyle w:val="TA1"/>
            </w:pPr>
            <w:r>
              <w:rPr>
                <w:b/>
                <w:bCs/>
              </w:rPr>
              <w:t>Rép. adm.</w:t>
            </w:r>
          </w:p>
          <w:p w14:paraId="3F80DE3F" w14:textId="77777777" w:rsidR="005D07A6" w:rsidRDefault="00F42774">
            <w:pPr>
              <w:pStyle w:val="TA1"/>
            </w:pPr>
            <w:r>
              <w:rPr>
                <w:b/>
                <w:bCs/>
              </w:rPr>
              <w:t>Rép. tests</w:t>
            </w:r>
            <w:r>
              <w:rPr>
                <w:rStyle w:val="TaAppelNote"/>
              </w:rPr>
              <w:t>(1)</w:t>
            </w:r>
          </w:p>
          <w:p w14:paraId="4DDADBAC" w14:textId="77777777" w:rsidR="005D07A6" w:rsidRDefault="00F42774">
            <w:pPr>
              <w:pStyle w:val="TA1"/>
              <w:rPr>
                <w:rFonts w:eastAsiaTheme="minorEastAsia"/>
              </w:rPr>
            </w:pPr>
            <w:r>
              <w:rPr>
                <w:b/>
                <w:bCs/>
              </w:rPr>
              <w:t>Rép. essais</w:t>
            </w:r>
            <w:r>
              <w:rPr>
                <w:rStyle w:val="TaAppelNote"/>
              </w:rPr>
              <w:t>(1)</w:t>
            </w:r>
          </w:p>
        </w:tc>
        <w:tc>
          <w:tcPr>
            <w:tcW w:w="4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02A3C96" w14:textId="77777777" w:rsidR="005D07A6" w:rsidRDefault="00F42774">
            <w:pPr>
              <w:pStyle w:val="TA1"/>
              <w:jc w:val="right"/>
              <w:rPr>
                <w:rFonts w:eastAsiaTheme="minorEastAsia"/>
              </w:rPr>
            </w:pPr>
            <w:r>
              <w:t>103 900</w:t>
            </w:r>
          </w:p>
        </w:tc>
        <w:tc>
          <w:tcPr>
            <w:tcW w:w="4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F631DEF" w14:textId="77777777" w:rsidR="005D07A6" w:rsidRDefault="00F42774">
            <w:pPr>
              <w:pStyle w:val="TA1"/>
              <w:jc w:val="right"/>
              <w:rPr>
                <w:rFonts w:eastAsiaTheme="minorEastAsia"/>
              </w:rPr>
            </w:pPr>
            <w:r>
              <w:t>3 000</w:t>
            </w:r>
          </w:p>
          <w:p w14:paraId="288032B1" w14:textId="77777777" w:rsidR="005D07A6" w:rsidRDefault="00F42774">
            <w:pPr>
              <w:pStyle w:val="TA1"/>
              <w:jc w:val="right"/>
            </w:pPr>
            <w:r>
              <w:t>– 3 600</w:t>
            </w:r>
          </w:p>
          <w:p w14:paraId="5925741C" w14:textId="77777777" w:rsidR="005D07A6" w:rsidRDefault="00F42774">
            <w:pPr>
              <w:pStyle w:val="TA1"/>
              <w:jc w:val="right"/>
              <w:rPr>
                <w:rFonts w:eastAsiaTheme="minorEastAsia"/>
              </w:rPr>
            </w:pPr>
            <w:r>
              <w:t>600</w:t>
            </w:r>
          </w:p>
        </w:tc>
        <w:tc>
          <w:tcPr>
            <w:tcW w:w="4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CE43EC6" w14:textId="77777777" w:rsidR="005D07A6" w:rsidRDefault="00F42774">
            <w:pPr>
              <w:pStyle w:val="TA1"/>
              <w:jc w:val="right"/>
              <w:rPr>
                <w:rFonts w:eastAsiaTheme="minorEastAsia"/>
              </w:rPr>
            </w:pPr>
            <w:r>
              <w:t>5 820</w:t>
            </w:r>
          </w:p>
          <w:p w14:paraId="2B48FB49" w14:textId="77777777" w:rsidR="005D07A6" w:rsidRDefault="00F42774">
            <w:pPr>
              <w:pStyle w:val="TA1"/>
              <w:jc w:val="right"/>
            </w:pPr>
            <w:r>
              <w:t>180</w:t>
            </w:r>
          </w:p>
          <w:p w14:paraId="29DCF2B1" w14:textId="77777777" w:rsidR="005D07A6" w:rsidRDefault="00F42774">
            <w:pPr>
              <w:pStyle w:val="TA1"/>
              <w:jc w:val="right"/>
              <w:rPr>
                <w:rFonts w:eastAsiaTheme="minorEastAsia"/>
              </w:rPr>
            </w:pPr>
            <w:r>
              <w:t>– 6 000</w:t>
            </w:r>
          </w:p>
        </w:tc>
        <w:tc>
          <w:tcPr>
            <w:tcW w:w="4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C573B9B" w14:textId="77777777" w:rsidR="005D07A6" w:rsidRDefault="00F42774">
            <w:pPr>
              <w:pStyle w:val="TA1"/>
              <w:jc w:val="right"/>
              <w:rPr>
                <w:rFonts w:eastAsiaTheme="minorEastAsia"/>
              </w:rPr>
            </w:pPr>
            <w:r>
              <w:t>4 020</w:t>
            </w:r>
          </w:p>
          <w:p w14:paraId="599671D7" w14:textId="77777777" w:rsidR="005D07A6" w:rsidRDefault="00F42774">
            <w:pPr>
              <w:pStyle w:val="TA1"/>
              <w:jc w:val="right"/>
            </w:pPr>
            <w:r>
              <w:t>180</w:t>
            </w:r>
          </w:p>
          <w:p w14:paraId="7B9A1859" w14:textId="77777777" w:rsidR="005D07A6" w:rsidRDefault="00F42774">
            <w:pPr>
              <w:pStyle w:val="TA1"/>
              <w:jc w:val="right"/>
            </w:pPr>
            <w:r>
              <w:t>600</w:t>
            </w:r>
          </w:p>
          <w:p w14:paraId="61A506F7" w14:textId="77777777" w:rsidR="005D07A6" w:rsidRDefault="00F42774">
            <w:pPr>
              <w:pStyle w:val="TA1"/>
              <w:jc w:val="right"/>
              <w:rPr>
                <w:rFonts w:eastAsiaTheme="minorEastAsia"/>
              </w:rPr>
            </w:pPr>
            <w:r>
              <w:t>– 4 800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3091CA8" w14:textId="77777777" w:rsidR="005D07A6" w:rsidRDefault="00F42774">
            <w:pPr>
              <w:pStyle w:val="TA1"/>
              <w:jc w:val="right"/>
              <w:rPr>
                <w:rFonts w:eastAsiaTheme="minorEastAsia"/>
              </w:rPr>
            </w:pPr>
            <w:r>
              <w:t>4 530</w:t>
            </w:r>
          </w:p>
          <w:p w14:paraId="5F9D1439" w14:textId="77777777" w:rsidR="005D07A6" w:rsidRDefault="00F42774">
            <w:pPr>
              <w:pStyle w:val="TA1"/>
              <w:jc w:val="right"/>
              <w:rPr>
                <w:rFonts w:eastAsiaTheme="minorEastAsia"/>
              </w:rPr>
            </w:pPr>
            <w:r>
              <w:t>720</w:t>
            </w:r>
          </w:p>
        </w:tc>
        <w:tc>
          <w:tcPr>
            <w:tcW w:w="4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81DBB94" w14:textId="77777777" w:rsidR="005D07A6" w:rsidRDefault="00F42774">
            <w:pPr>
              <w:pStyle w:val="TA1"/>
              <w:jc w:val="right"/>
              <w:rPr>
                <w:rFonts w:eastAsiaTheme="minorEastAsia"/>
              </w:rPr>
            </w:pPr>
            <w:r>
              <w:t>4 833</w:t>
            </w:r>
          </w:p>
          <w:p w14:paraId="17B1F3AF" w14:textId="77777777" w:rsidR="005D07A6" w:rsidRDefault="00F42774">
            <w:pPr>
              <w:pStyle w:val="TA1"/>
              <w:jc w:val="right"/>
            </w:pPr>
            <w:r>
              <w:t>180</w:t>
            </w:r>
          </w:p>
          <w:p w14:paraId="20DE4F07" w14:textId="77777777" w:rsidR="005D07A6" w:rsidRDefault="00F42774">
            <w:pPr>
              <w:pStyle w:val="TA1"/>
              <w:jc w:val="right"/>
            </w:pPr>
            <w:r>
              <w:t>300</w:t>
            </w:r>
          </w:p>
          <w:p w14:paraId="0B8A79D7" w14:textId="77777777" w:rsidR="005D07A6" w:rsidRDefault="00F42774">
            <w:pPr>
              <w:pStyle w:val="TA1"/>
              <w:jc w:val="right"/>
              <w:rPr>
                <w:rFonts w:eastAsiaTheme="minorEastAsia"/>
              </w:rPr>
            </w:pPr>
            <w:r>
              <w:t>96</w:t>
            </w:r>
          </w:p>
        </w:tc>
        <w:tc>
          <w:tcPr>
            <w:tcW w:w="4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A70ECB8" w14:textId="77777777" w:rsidR="005D07A6" w:rsidRDefault="00F42774">
            <w:pPr>
              <w:pStyle w:val="TA1"/>
              <w:jc w:val="right"/>
              <w:rPr>
                <w:rFonts w:eastAsiaTheme="minorEastAsia"/>
              </w:rPr>
            </w:pPr>
            <w:r>
              <w:t>9 651</w:t>
            </w:r>
          </w:p>
          <w:p w14:paraId="393630DA" w14:textId="77777777" w:rsidR="005D07A6" w:rsidRDefault="00F42774">
            <w:pPr>
              <w:pStyle w:val="TA1"/>
              <w:jc w:val="right"/>
            </w:pPr>
            <w:r>
              <w:t>540</w:t>
            </w:r>
          </w:p>
          <w:p w14:paraId="6EFCE526" w14:textId="77777777" w:rsidR="005D07A6" w:rsidRDefault="00F42774">
            <w:pPr>
              <w:pStyle w:val="TA1"/>
              <w:jc w:val="right"/>
            </w:pPr>
            <w:r>
              <w:t>300</w:t>
            </w:r>
          </w:p>
          <w:p w14:paraId="76EFC75B" w14:textId="77777777" w:rsidR="005D07A6" w:rsidRDefault="00F42774">
            <w:pPr>
              <w:pStyle w:val="TA1"/>
              <w:jc w:val="right"/>
              <w:rPr>
                <w:rFonts w:eastAsiaTheme="minorEastAsia"/>
              </w:rPr>
            </w:pPr>
            <w:r>
              <w:t>384</w:t>
            </w:r>
          </w:p>
        </w:tc>
        <w:tc>
          <w:tcPr>
            <w:tcW w:w="4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7BFE544" w14:textId="77777777" w:rsidR="005D07A6" w:rsidRDefault="00F42774">
            <w:pPr>
              <w:pStyle w:val="TA1"/>
              <w:jc w:val="right"/>
              <w:rPr>
                <w:rFonts w:eastAsiaTheme="minorEastAsia"/>
              </w:rPr>
            </w:pPr>
            <w:r>
              <w:t>31 350</w:t>
            </w:r>
          </w:p>
          <w:p w14:paraId="47CB619B" w14:textId="77777777" w:rsidR="005D07A6" w:rsidRDefault="00F42774">
            <w:pPr>
              <w:pStyle w:val="TA1"/>
              <w:jc w:val="right"/>
            </w:pPr>
            <w:r>
              <w:t>720</w:t>
            </w:r>
          </w:p>
          <w:p w14:paraId="606C5378" w14:textId="77777777" w:rsidR="005D07A6" w:rsidRDefault="00F42774">
            <w:pPr>
              <w:pStyle w:val="TA1"/>
              <w:jc w:val="right"/>
              <w:rPr>
                <w:rFonts w:eastAsiaTheme="minorEastAsia"/>
              </w:rPr>
            </w:pPr>
            <w:r>
              <w:t>480</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6CB0C78" w14:textId="77777777" w:rsidR="005D07A6" w:rsidRDefault="00F42774">
            <w:pPr>
              <w:pStyle w:val="TA1"/>
              <w:jc w:val="right"/>
              <w:rPr>
                <w:rFonts w:eastAsiaTheme="minorEastAsia"/>
              </w:rPr>
            </w:pPr>
            <w:r>
              <w:t>30 880</w:t>
            </w:r>
          </w:p>
          <w:p w14:paraId="26AA2452" w14:textId="77777777" w:rsidR="005D07A6" w:rsidRDefault="00F42774">
            <w:pPr>
              <w:pStyle w:val="TA1"/>
              <w:jc w:val="right"/>
            </w:pPr>
            <w:r>
              <w:t>720</w:t>
            </w:r>
          </w:p>
          <w:p w14:paraId="684037A0" w14:textId="77777777" w:rsidR="005D07A6" w:rsidRDefault="00F42774">
            <w:pPr>
              <w:pStyle w:val="TA1"/>
              <w:jc w:val="right"/>
            </w:pPr>
            <w:r>
              <w:t>4 200</w:t>
            </w:r>
          </w:p>
          <w:p w14:paraId="02A2ED2A" w14:textId="77777777" w:rsidR="005D07A6" w:rsidRDefault="00F42774">
            <w:pPr>
              <w:pStyle w:val="TA1"/>
              <w:jc w:val="right"/>
              <w:rPr>
                <w:rFonts w:eastAsiaTheme="minorEastAsia"/>
              </w:rPr>
            </w:pPr>
            <w:r>
              <w:t>3 840</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F711749" w14:textId="77777777" w:rsidR="005D07A6" w:rsidRDefault="00F42774">
            <w:pPr>
              <w:pStyle w:val="TA1"/>
              <w:jc w:val="right"/>
              <w:rPr>
                <w:rFonts w:eastAsiaTheme="minorEastAsia"/>
              </w:rPr>
            </w:pPr>
            <w:r>
              <w:t>8 876</w:t>
            </w:r>
          </w:p>
          <w:p w14:paraId="709719BF" w14:textId="77777777" w:rsidR="005D07A6" w:rsidRDefault="00F42774">
            <w:pPr>
              <w:pStyle w:val="TA1"/>
              <w:jc w:val="right"/>
              <w:rPr>
                <w:rFonts w:eastAsiaTheme="minorEastAsia"/>
              </w:rPr>
            </w:pPr>
            <w:r>
              <w:t>360</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FC39724" w14:textId="77777777" w:rsidR="005D07A6" w:rsidRDefault="00F42774">
            <w:pPr>
              <w:pStyle w:val="TA1"/>
              <w:jc w:val="right"/>
              <w:rPr>
                <w:rFonts w:eastAsiaTheme="minorEastAsia"/>
              </w:rPr>
            </w:pPr>
            <w:r>
              <w:t>940</w:t>
            </w:r>
          </w:p>
        </w:tc>
      </w:tr>
      <w:tr w:rsidR="005D07A6" w14:paraId="6073C2CA" w14:textId="77777777">
        <w:tc>
          <w:tcPr>
            <w:tcW w:w="85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8670337" w14:textId="77777777" w:rsidR="005D07A6" w:rsidRDefault="00F42774">
            <w:pPr>
              <w:pStyle w:val="TA1"/>
              <w:rPr>
                <w:rFonts w:eastAsiaTheme="minorEastAsia"/>
              </w:rPr>
            </w:pPr>
            <w:r>
              <w:rPr>
                <w:b/>
                <w:bCs/>
              </w:rPr>
              <w:t>Totaux RS</w:t>
            </w:r>
          </w:p>
        </w:tc>
        <w:tc>
          <w:tcPr>
            <w:tcW w:w="4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2F34E84" w14:textId="77777777" w:rsidR="005D07A6" w:rsidRDefault="00F42774">
            <w:pPr>
              <w:pStyle w:val="TA1"/>
              <w:jc w:val="right"/>
              <w:rPr>
                <w:rFonts w:eastAsiaTheme="minorEastAsia"/>
              </w:rPr>
            </w:pPr>
            <w:r>
              <w:t>103 900</w:t>
            </w:r>
          </w:p>
        </w:tc>
        <w:tc>
          <w:tcPr>
            <w:tcW w:w="4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B17E967" w14:textId="77777777" w:rsidR="005D07A6" w:rsidRDefault="00F42774">
            <w:pPr>
              <w:pStyle w:val="TA1"/>
              <w:jc w:val="right"/>
              <w:rPr>
                <w:rFonts w:eastAsiaTheme="minorEastAsia"/>
              </w:rPr>
            </w:pPr>
            <w:r>
              <w:t>–</w:t>
            </w:r>
          </w:p>
        </w:tc>
        <w:tc>
          <w:tcPr>
            <w:tcW w:w="4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F621140" w14:textId="77777777" w:rsidR="005D07A6" w:rsidRDefault="00F42774">
            <w:pPr>
              <w:pStyle w:val="TA1"/>
              <w:jc w:val="right"/>
              <w:rPr>
                <w:rFonts w:eastAsiaTheme="minorEastAsia"/>
              </w:rPr>
            </w:pPr>
            <w:r>
              <w:t>–</w:t>
            </w:r>
          </w:p>
        </w:tc>
        <w:tc>
          <w:tcPr>
            <w:tcW w:w="4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03C8F67" w14:textId="77777777" w:rsidR="005D07A6" w:rsidRDefault="00F42774">
            <w:pPr>
              <w:pStyle w:val="TA1"/>
              <w:jc w:val="right"/>
              <w:rPr>
                <w:rFonts w:eastAsiaTheme="minorEastAsia"/>
              </w:rPr>
            </w:pPr>
            <w:r>
              <w:t>–</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E56435F" w14:textId="77777777" w:rsidR="005D07A6" w:rsidRDefault="00F42774">
            <w:pPr>
              <w:pStyle w:val="TA1"/>
              <w:jc w:val="right"/>
              <w:rPr>
                <w:rFonts w:eastAsiaTheme="minorEastAsia"/>
              </w:rPr>
            </w:pPr>
            <w:r>
              <w:t>5 250</w:t>
            </w:r>
          </w:p>
        </w:tc>
        <w:tc>
          <w:tcPr>
            <w:tcW w:w="4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E63955C" w14:textId="77777777" w:rsidR="005D07A6" w:rsidRDefault="00F42774">
            <w:pPr>
              <w:pStyle w:val="TA1"/>
              <w:jc w:val="right"/>
              <w:rPr>
                <w:rFonts w:eastAsiaTheme="minorEastAsia"/>
              </w:rPr>
            </w:pPr>
            <w:r>
              <w:t>5 409</w:t>
            </w:r>
          </w:p>
        </w:tc>
        <w:tc>
          <w:tcPr>
            <w:tcW w:w="4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D65E262" w14:textId="77777777" w:rsidR="005D07A6" w:rsidRDefault="00F42774">
            <w:pPr>
              <w:pStyle w:val="TA1"/>
              <w:jc w:val="right"/>
              <w:rPr>
                <w:rFonts w:eastAsiaTheme="minorEastAsia"/>
              </w:rPr>
            </w:pPr>
            <w:r>
              <w:t>10 875</w:t>
            </w:r>
          </w:p>
        </w:tc>
        <w:tc>
          <w:tcPr>
            <w:tcW w:w="4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8AA9C19" w14:textId="77777777" w:rsidR="005D07A6" w:rsidRDefault="00F42774">
            <w:pPr>
              <w:pStyle w:val="TA1"/>
              <w:jc w:val="right"/>
              <w:rPr>
                <w:rFonts w:eastAsiaTheme="minorEastAsia"/>
              </w:rPr>
            </w:pPr>
            <w:r>
              <w:t>32 550</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4334466" w14:textId="77777777" w:rsidR="005D07A6" w:rsidRDefault="00F42774">
            <w:pPr>
              <w:pStyle w:val="TA1"/>
              <w:jc w:val="right"/>
              <w:rPr>
                <w:rFonts w:eastAsiaTheme="minorEastAsia"/>
              </w:rPr>
            </w:pPr>
            <w:r>
              <w:t>39 640</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DD3C44F" w14:textId="77777777" w:rsidR="005D07A6" w:rsidRDefault="00F42774">
            <w:pPr>
              <w:pStyle w:val="TA1"/>
              <w:jc w:val="right"/>
              <w:rPr>
                <w:rFonts w:eastAsiaTheme="minorEastAsia"/>
              </w:rPr>
            </w:pPr>
            <w:r>
              <w:t>9 236</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01F00F0" w14:textId="77777777" w:rsidR="005D07A6" w:rsidRDefault="00F42774">
            <w:pPr>
              <w:pStyle w:val="TA1"/>
              <w:jc w:val="right"/>
              <w:rPr>
                <w:rFonts w:eastAsiaTheme="minorEastAsia"/>
              </w:rPr>
            </w:pPr>
            <w:r>
              <w:t>940</w:t>
            </w:r>
          </w:p>
        </w:tc>
      </w:tr>
      <w:tr w:rsidR="005D07A6" w14:paraId="4B48B083" w14:textId="77777777">
        <w:tc>
          <w:tcPr>
            <w:tcW w:w="85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404A3C9" w14:textId="77777777" w:rsidR="005D07A6" w:rsidRDefault="00F42774">
            <w:pPr>
              <w:pStyle w:val="TA1"/>
              <w:rPr>
                <w:rFonts w:eastAsiaTheme="minorEastAsia"/>
              </w:rPr>
            </w:pPr>
            <w:r>
              <w:rPr>
                <w:b/>
                <w:bCs/>
              </w:rPr>
              <w:t>Nature de l’UO</w:t>
            </w:r>
          </w:p>
          <w:p w14:paraId="510C3F25" w14:textId="77777777" w:rsidR="005D07A6" w:rsidRDefault="00F42774">
            <w:pPr>
              <w:pStyle w:val="TA1"/>
            </w:pPr>
            <w:r>
              <w:rPr>
                <w:b/>
                <w:bCs/>
              </w:rPr>
              <w:t>Nombre d’UO</w:t>
            </w:r>
          </w:p>
          <w:p w14:paraId="5DDF4236" w14:textId="77777777" w:rsidR="005D07A6" w:rsidRDefault="00F42774">
            <w:pPr>
              <w:pStyle w:val="TA1"/>
              <w:rPr>
                <w:rFonts w:eastAsiaTheme="minorEastAsia"/>
              </w:rPr>
            </w:pPr>
            <w:r>
              <w:rPr>
                <w:b/>
                <w:bCs/>
              </w:rPr>
              <w:t>Coût de l’UO</w:t>
            </w:r>
          </w:p>
        </w:tc>
        <w:tc>
          <w:tcPr>
            <w:tcW w:w="4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8FBEE4D" w14:textId="77777777" w:rsidR="005D07A6" w:rsidRDefault="005D07A6"/>
        </w:tc>
        <w:tc>
          <w:tcPr>
            <w:tcW w:w="4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3F1F443" w14:textId="77777777" w:rsidR="005D07A6" w:rsidRDefault="005D07A6"/>
        </w:tc>
        <w:tc>
          <w:tcPr>
            <w:tcW w:w="4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4348496" w14:textId="77777777" w:rsidR="005D07A6" w:rsidRDefault="005D07A6"/>
        </w:tc>
        <w:tc>
          <w:tcPr>
            <w:tcW w:w="4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DCF2497" w14:textId="77777777" w:rsidR="005D07A6" w:rsidRDefault="005D07A6"/>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EBB943D" w14:textId="77777777" w:rsidR="005D07A6" w:rsidRDefault="00F42774">
            <w:pPr>
              <w:pStyle w:val="TA1"/>
              <w:jc w:val="right"/>
              <w:rPr>
                <w:rFonts w:eastAsiaTheme="minorEastAsia"/>
              </w:rPr>
            </w:pPr>
            <w:r>
              <w:t>100 €</w:t>
            </w:r>
          </w:p>
          <w:p w14:paraId="3D32CAD7" w14:textId="77777777" w:rsidR="005D07A6" w:rsidRDefault="00F42774">
            <w:pPr>
              <w:pStyle w:val="TA1"/>
              <w:jc w:val="right"/>
            </w:pPr>
            <w:r>
              <w:t>d’achats</w:t>
            </w:r>
          </w:p>
          <w:p w14:paraId="609C7C69" w14:textId="77777777" w:rsidR="005D07A6" w:rsidRDefault="00F42774">
            <w:pPr>
              <w:pStyle w:val="TA1"/>
              <w:jc w:val="right"/>
            </w:pPr>
            <w:r>
              <w:t>210</w:t>
            </w:r>
          </w:p>
          <w:p w14:paraId="6E5DADF8" w14:textId="77777777" w:rsidR="005D07A6" w:rsidRDefault="00F42774">
            <w:pPr>
              <w:pStyle w:val="TA1"/>
              <w:jc w:val="right"/>
              <w:rPr>
                <w:rFonts w:eastAsiaTheme="minorEastAsia"/>
              </w:rPr>
            </w:pPr>
            <w:r>
              <w:t>25</w:t>
            </w:r>
          </w:p>
        </w:tc>
        <w:tc>
          <w:tcPr>
            <w:tcW w:w="4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AE7FD87" w14:textId="77777777" w:rsidR="005D07A6" w:rsidRDefault="00F42774">
            <w:pPr>
              <w:pStyle w:val="TA1"/>
              <w:jc w:val="right"/>
              <w:rPr>
                <w:rFonts w:eastAsiaTheme="minorEastAsia"/>
              </w:rPr>
            </w:pPr>
            <w:r>
              <w:t>1 HP</w:t>
            </w:r>
          </w:p>
          <w:p w14:paraId="50F5F663" w14:textId="77777777" w:rsidR="005D07A6" w:rsidRDefault="00F42774">
            <w:pPr>
              <w:pStyle w:val="TA1"/>
              <w:jc w:val="right"/>
            </w:pPr>
            <w:r>
              <w:rPr>
                <w:rStyle w:val="TaAppelNote"/>
              </w:rPr>
              <w:t>(2)</w:t>
            </w:r>
            <w:r>
              <w:t>1 803</w:t>
            </w:r>
          </w:p>
          <w:p w14:paraId="06FA25B6" w14:textId="77777777" w:rsidR="005D07A6" w:rsidRDefault="00F42774">
            <w:pPr>
              <w:pStyle w:val="TA1"/>
              <w:jc w:val="right"/>
              <w:rPr>
                <w:rFonts w:eastAsiaTheme="minorEastAsia"/>
              </w:rPr>
            </w:pPr>
            <w:r>
              <w:t>3</w:t>
            </w:r>
          </w:p>
        </w:tc>
        <w:tc>
          <w:tcPr>
            <w:tcW w:w="4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5856041" w14:textId="77777777" w:rsidR="005D07A6" w:rsidRDefault="005D07A6"/>
        </w:tc>
        <w:tc>
          <w:tcPr>
            <w:tcW w:w="4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8CA6CBD" w14:textId="77777777" w:rsidR="005D07A6" w:rsidRDefault="005D07A6"/>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8BA614E" w14:textId="77777777" w:rsidR="005D07A6" w:rsidRDefault="00F42774">
            <w:pPr>
              <w:pStyle w:val="TA1"/>
              <w:jc w:val="right"/>
              <w:rPr>
                <w:rFonts w:eastAsiaTheme="minorEastAsia"/>
              </w:rPr>
            </w:pPr>
            <w:r>
              <w:t>1 équiv.</w:t>
            </w:r>
          </w:p>
          <w:p w14:paraId="2133D497" w14:textId="77777777" w:rsidR="005D07A6" w:rsidRDefault="00F42774">
            <w:pPr>
              <w:pStyle w:val="TA1"/>
              <w:jc w:val="right"/>
            </w:pPr>
            <w:r>
              <w:t>enc. HF</w:t>
            </w:r>
          </w:p>
          <w:p w14:paraId="5C6F6405" w14:textId="77777777" w:rsidR="005D07A6" w:rsidRDefault="00F42774">
            <w:pPr>
              <w:pStyle w:val="TA1"/>
              <w:jc w:val="right"/>
            </w:pPr>
            <w:r>
              <w:rPr>
                <w:rStyle w:val="TaAppelNote"/>
              </w:rPr>
              <w:t>(3)</w:t>
            </w:r>
            <w:r>
              <w:t>1 982</w:t>
            </w:r>
          </w:p>
          <w:p w14:paraId="385CF260" w14:textId="77777777" w:rsidR="005D07A6" w:rsidRDefault="00F42774">
            <w:pPr>
              <w:pStyle w:val="TA1"/>
              <w:jc w:val="right"/>
              <w:rPr>
                <w:rFonts w:eastAsiaTheme="minorEastAsia"/>
              </w:rPr>
            </w:pPr>
            <w:r>
              <w:t>20</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0CB2F8E" w14:textId="77777777" w:rsidR="005D07A6" w:rsidRDefault="00F42774">
            <w:pPr>
              <w:pStyle w:val="TA1"/>
              <w:jc w:val="right"/>
              <w:rPr>
                <w:rFonts w:eastAsiaTheme="minorEastAsia"/>
              </w:rPr>
            </w:pPr>
            <w:r>
              <w:t>100 € de ventes</w:t>
            </w:r>
          </w:p>
          <w:p w14:paraId="6DEC3CE4" w14:textId="77777777" w:rsidR="005D07A6" w:rsidRDefault="00F42774">
            <w:pPr>
              <w:pStyle w:val="TA1"/>
              <w:jc w:val="right"/>
            </w:pPr>
            <w:r>
              <w:t>2 309</w:t>
            </w:r>
          </w:p>
          <w:p w14:paraId="1AE8DCA9" w14:textId="77777777" w:rsidR="005D07A6" w:rsidRDefault="00F42774">
            <w:pPr>
              <w:pStyle w:val="TA1"/>
              <w:jc w:val="right"/>
              <w:rPr>
                <w:rFonts w:eastAsiaTheme="minorEastAsia"/>
              </w:rPr>
            </w:pPr>
            <w:r>
              <w:t>4</w:t>
            </w:r>
          </w:p>
        </w:tc>
        <w:tc>
          <w:tcPr>
            <w:tcW w:w="3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265ED2C" w14:textId="77777777" w:rsidR="005D07A6" w:rsidRDefault="005D07A6"/>
        </w:tc>
      </w:tr>
    </w:tbl>
    <w:p w14:paraId="3EA8716C" w14:textId="77777777" w:rsidR="005D07A6" w:rsidRDefault="00F42774">
      <w:pPr>
        <w:pStyle w:val="TA3"/>
        <w:rPr>
          <w:rFonts w:eastAsiaTheme="minorEastAsia"/>
        </w:rPr>
      </w:pPr>
      <w:r>
        <w:t>1. Prestations réciproques :</w:t>
      </w:r>
    </w:p>
    <w:tbl>
      <w:tblPr>
        <w:tblW w:w="5800" w:type="dxa"/>
        <w:tblInd w:w="1701" w:type="dxa"/>
        <w:tblLook w:val="04A0" w:firstRow="1" w:lastRow="0" w:firstColumn="1" w:lastColumn="0" w:noHBand="0" w:noVBand="1"/>
      </w:tblPr>
      <w:tblGrid>
        <w:gridCol w:w="860"/>
        <w:gridCol w:w="520"/>
        <w:gridCol w:w="520"/>
        <w:gridCol w:w="1960"/>
        <w:gridCol w:w="1940"/>
      </w:tblGrid>
      <w:tr w:rsidR="005D07A6" w14:paraId="40CDF947" w14:textId="77777777">
        <w:tc>
          <w:tcPr>
            <w:tcW w:w="645" w:type="dxa"/>
            <w:tcBorders>
              <w:top w:val="nil"/>
              <w:left w:val="nil"/>
              <w:bottom w:val="single" w:sz="4" w:space="0" w:color="auto"/>
              <w:right w:val="single" w:sz="4" w:space="0" w:color="auto"/>
            </w:tcBorders>
            <w:tcMar>
              <w:top w:w="0" w:type="dxa"/>
              <w:left w:w="2" w:type="dxa"/>
              <w:bottom w:w="0" w:type="dxa"/>
              <w:right w:w="2" w:type="dxa"/>
            </w:tcMar>
            <w:hideMark/>
          </w:tcPr>
          <w:p w14:paraId="5F142249" w14:textId="77777777" w:rsidR="005D07A6" w:rsidRDefault="005D07A6"/>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274337F" w14:textId="77777777" w:rsidR="005D07A6" w:rsidRDefault="00F42774">
            <w:pPr>
              <w:pStyle w:val="TA4"/>
              <w:rPr>
                <w:rFonts w:eastAsiaTheme="minorEastAsia"/>
              </w:rPr>
            </w:pPr>
            <w:r>
              <w:rPr>
                <w:b/>
                <w:bCs/>
              </w:rPr>
              <w:t>Adm.</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EE854F8" w14:textId="77777777" w:rsidR="005D07A6" w:rsidRDefault="00F42774">
            <w:pPr>
              <w:pStyle w:val="TA4"/>
              <w:rPr>
                <w:rFonts w:eastAsiaTheme="minorEastAsia"/>
              </w:rPr>
            </w:pPr>
            <w:r>
              <w:rPr>
                <w:b/>
                <w:bCs/>
              </w:rPr>
              <w:t>Tests</w:t>
            </w:r>
          </w:p>
        </w:tc>
        <w:tc>
          <w:tcPr>
            <w:tcW w:w="1470" w:type="dxa"/>
            <w:gridSpan w:val="2"/>
            <w:tcBorders>
              <w:top w:val="nil"/>
              <w:left w:val="single" w:sz="4" w:space="0" w:color="auto"/>
              <w:bottom w:val="nil"/>
              <w:right w:val="nil"/>
            </w:tcBorders>
            <w:tcMar>
              <w:top w:w="0" w:type="dxa"/>
              <w:left w:w="2" w:type="dxa"/>
              <w:bottom w:w="0" w:type="dxa"/>
              <w:right w:w="2" w:type="dxa"/>
            </w:tcMar>
            <w:hideMark/>
          </w:tcPr>
          <w:p w14:paraId="12109306" w14:textId="77777777" w:rsidR="005D07A6" w:rsidRDefault="00F42774">
            <w:pPr>
              <w:pStyle w:val="TA4"/>
              <w:rPr>
                <w:rFonts w:eastAsiaTheme="minorEastAsia"/>
              </w:rPr>
            </w:pPr>
            <w:r>
              <w:t>Soit :</w:t>
            </w:r>
          </w:p>
          <w:p w14:paraId="20E51A5C" w14:textId="77777777" w:rsidR="005D07A6" w:rsidRDefault="00F42774">
            <w:pPr>
              <w:pStyle w:val="TA4"/>
            </w:pPr>
            <w:r>
              <w:t>A le total du centre administration après prestations réciproques.</w:t>
            </w:r>
          </w:p>
          <w:p w14:paraId="1030F259" w14:textId="77777777" w:rsidR="005D07A6" w:rsidRDefault="00F42774">
            <w:pPr>
              <w:pStyle w:val="TA4"/>
              <w:rPr>
                <w:rFonts w:eastAsiaTheme="minorEastAsia"/>
              </w:rPr>
            </w:pPr>
            <w:r>
              <w:lastRenderedPageBreak/>
              <w:t>T le total du centre tests après prestations réciproques.</w:t>
            </w:r>
          </w:p>
        </w:tc>
      </w:tr>
      <w:tr w:rsidR="005D07A6" w14:paraId="05EDC3D1" w14:textId="77777777">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8E0F46E" w14:textId="77777777" w:rsidR="005D07A6" w:rsidRDefault="00F42774">
            <w:pPr>
              <w:pStyle w:val="TA4"/>
              <w:rPr>
                <w:rFonts w:eastAsiaTheme="minorEastAsia"/>
              </w:rPr>
            </w:pPr>
            <w:r>
              <w:lastRenderedPageBreak/>
              <w:t>Totaux RP</w:t>
            </w:r>
          </w:p>
        </w:tc>
        <w:tc>
          <w:tcPr>
            <w:tcW w:w="39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90DFF6C" w14:textId="77777777" w:rsidR="005D07A6" w:rsidRDefault="00F42774">
            <w:pPr>
              <w:pStyle w:val="TA4"/>
              <w:rPr>
                <w:rFonts w:eastAsiaTheme="minorEastAsia"/>
              </w:rPr>
            </w:pPr>
            <w:r>
              <w:t>3 000</w:t>
            </w:r>
          </w:p>
        </w:tc>
        <w:tc>
          <w:tcPr>
            <w:tcW w:w="39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90C9573" w14:textId="77777777" w:rsidR="005D07A6" w:rsidRDefault="00F42774">
            <w:pPr>
              <w:pStyle w:val="TA4"/>
              <w:rPr>
                <w:rFonts w:eastAsiaTheme="minorEastAsia"/>
              </w:rPr>
            </w:pPr>
            <w:r>
              <w:t>5 820</w:t>
            </w:r>
          </w:p>
        </w:tc>
        <w:tc>
          <w:tcPr>
            <w:tcW w:w="1470" w:type="dxa"/>
            <w:gridSpan w:val="2"/>
            <w:tcBorders>
              <w:top w:val="nil"/>
              <w:left w:val="single" w:sz="4" w:space="0" w:color="auto"/>
              <w:bottom w:val="nil"/>
              <w:right w:val="nil"/>
            </w:tcBorders>
            <w:tcMar>
              <w:top w:w="0" w:type="dxa"/>
              <w:left w:w="2" w:type="dxa"/>
              <w:bottom w:w="0" w:type="dxa"/>
              <w:right w:w="2" w:type="dxa"/>
            </w:tcMar>
            <w:hideMark/>
          </w:tcPr>
          <w:p w14:paraId="12CE0DA2" w14:textId="77777777" w:rsidR="005D07A6" w:rsidRDefault="005D07A6"/>
        </w:tc>
      </w:tr>
      <w:tr w:rsidR="005D07A6" w14:paraId="503F6A61" w14:textId="77777777">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0D7DD2BD" w14:textId="77777777" w:rsidR="005D07A6" w:rsidRDefault="00F42774">
            <w:pPr>
              <w:pStyle w:val="TA4"/>
              <w:rPr>
                <w:rFonts w:eastAsiaTheme="minorEastAsia"/>
              </w:rPr>
            </w:pPr>
            <w:r>
              <w:t>Rép. admi.</w:t>
            </w:r>
          </w:p>
        </w:tc>
        <w:tc>
          <w:tcPr>
            <w:tcW w:w="390" w:type="dxa"/>
            <w:tcBorders>
              <w:top w:val="nil"/>
              <w:left w:val="single" w:sz="4" w:space="0" w:color="auto"/>
              <w:bottom w:val="nil"/>
              <w:right w:val="single" w:sz="4" w:space="0" w:color="auto"/>
            </w:tcBorders>
            <w:tcMar>
              <w:top w:w="0" w:type="dxa"/>
              <w:left w:w="2" w:type="dxa"/>
              <w:bottom w:w="0" w:type="dxa"/>
              <w:right w:w="2" w:type="dxa"/>
            </w:tcMar>
            <w:hideMark/>
          </w:tcPr>
          <w:p w14:paraId="2F0A5DC6" w14:textId="77777777" w:rsidR="005D07A6" w:rsidRDefault="00F42774">
            <w:pPr>
              <w:pStyle w:val="TA4"/>
              <w:rPr>
                <w:rFonts w:eastAsiaTheme="minorEastAsia"/>
              </w:rPr>
            </w:pPr>
            <w:r>
              <w:t>– A</w:t>
            </w:r>
          </w:p>
        </w:tc>
        <w:tc>
          <w:tcPr>
            <w:tcW w:w="390" w:type="dxa"/>
            <w:tcBorders>
              <w:top w:val="nil"/>
              <w:left w:val="single" w:sz="4" w:space="0" w:color="auto"/>
              <w:bottom w:val="nil"/>
              <w:right w:val="single" w:sz="4" w:space="0" w:color="auto"/>
            </w:tcBorders>
            <w:tcMar>
              <w:top w:w="0" w:type="dxa"/>
              <w:left w:w="2" w:type="dxa"/>
              <w:bottom w:w="0" w:type="dxa"/>
              <w:right w:w="2" w:type="dxa"/>
            </w:tcMar>
            <w:hideMark/>
          </w:tcPr>
          <w:p w14:paraId="3BBC48DA" w14:textId="77777777" w:rsidR="005D07A6" w:rsidRDefault="00F42774">
            <w:pPr>
              <w:pStyle w:val="TA4"/>
              <w:rPr>
                <w:rFonts w:eastAsiaTheme="minorEastAsia"/>
              </w:rPr>
            </w:pPr>
            <w:r>
              <w:t>0,05A</w:t>
            </w:r>
          </w:p>
        </w:tc>
        <w:tc>
          <w:tcPr>
            <w:tcW w:w="1470" w:type="dxa"/>
            <w:tcBorders>
              <w:top w:val="nil"/>
              <w:left w:val="single" w:sz="4" w:space="0" w:color="auto"/>
              <w:bottom w:val="nil"/>
              <w:right w:val="nil"/>
            </w:tcBorders>
            <w:tcMar>
              <w:top w:w="0" w:type="dxa"/>
              <w:left w:w="2" w:type="dxa"/>
              <w:bottom w:w="0" w:type="dxa"/>
              <w:right w:w="2" w:type="dxa"/>
            </w:tcMar>
            <w:hideMark/>
          </w:tcPr>
          <w:p w14:paraId="41439775" w14:textId="77777777" w:rsidR="005D07A6" w:rsidRDefault="00F42774">
            <w:pPr>
              <w:pStyle w:val="TA4"/>
              <w:rPr>
                <w:rFonts w:eastAsiaTheme="minorEastAsia"/>
              </w:rPr>
            </w:pPr>
            <w:r>
              <w:t>Le système à résoudre est</w:t>
            </w:r>
          </w:p>
        </w:tc>
        <w:tc>
          <w:tcPr>
            <w:tcW w:w="1455" w:type="dxa"/>
            <w:vMerge w:val="restart"/>
            <w:tcBorders>
              <w:top w:val="nil"/>
              <w:left w:val="nil"/>
              <w:bottom w:val="nil"/>
              <w:right w:val="nil"/>
            </w:tcBorders>
            <w:tcMar>
              <w:top w:w="0" w:type="dxa"/>
              <w:left w:w="2" w:type="dxa"/>
              <w:bottom w:w="0" w:type="dxa"/>
              <w:right w:w="2" w:type="dxa"/>
            </w:tcMar>
            <w:hideMark/>
          </w:tcPr>
          <w:p w14:paraId="59162930" w14:textId="77777777" w:rsidR="005D07A6" w:rsidRDefault="00F42774">
            <w:pPr>
              <w:pStyle w:val="TA4"/>
              <w:rPr>
                <w:rFonts w:eastAsiaTheme="minorEastAsia"/>
              </w:rPr>
            </w:pPr>
            <w:r>
              <w:t>A = 3 000 + 0,10T ;</w:t>
            </w:r>
          </w:p>
          <w:p w14:paraId="4236ED6E" w14:textId="77777777" w:rsidR="005D07A6" w:rsidRDefault="00F42774">
            <w:pPr>
              <w:pStyle w:val="TA4"/>
              <w:rPr>
                <w:rFonts w:eastAsiaTheme="minorEastAsia"/>
              </w:rPr>
            </w:pPr>
            <w:r>
              <w:t>T = 5 820 + 0,05A.</w:t>
            </w:r>
          </w:p>
        </w:tc>
      </w:tr>
      <w:tr w:rsidR="005D07A6" w14:paraId="090A8B0C" w14:textId="77777777">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BE0E7C7" w14:textId="77777777" w:rsidR="005D07A6" w:rsidRDefault="00F42774">
            <w:pPr>
              <w:pStyle w:val="TA4"/>
              <w:rPr>
                <w:rFonts w:eastAsiaTheme="minorEastAsia"/>
              </w:rPr>
            </w:pPr>
            <w:r>
              <w:t>Rép. test</w:t>
            </w:r>
          </w:p>
        </w:tc>
        <w:tc>
          <w:tcPr>
            <w:tcW w:w="39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E287D47" w14:textId="77777777" w:rsidR="005D07A6" w:rsidRDefault="00F42774">
            <w:pPr>
              <w:pStyle w:val="TA4"/>
              <w:rPr>
                <w:rFonts w:eastAsiaTheme="minorEastAsia"/>
              </w:rPr>
            </w:pPr>
            <w:r>
              <w:t>0,10T</w:t>
            </w:r>
          </w:p>
        </w:tc>
        <w:tc>
          <w:tcPr>
            <w:tcW w:w="39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25B11A5" w14:textId="77777777" w:rsidR="005D07A6" w:rsidRDefault="00F42774">
            <w:pPr>
              <w:pStyle w:val="TA4"/>
              <w:rPr>
                <w:rFonts w:eastAsiaTheme="minorEastAsia"/>
              </w:rPr>
            </w:pPr>
            <w:r>
              <w:t>– T</w:t>
            </w:r>
          </w:p>
        </w:tc>
        <w:tc>
          <w:tcPr>
            <w:tcW w:w="1470" w:type="dxa"/>
            <w:tcBorders>
              <w:top w:val="nil"/>
              <w:left w:val="single" w:sz="4" w:space="0" w:color="auto"/>
              <w:bottom w:val="nil"/>
              <w:right w:val="nil"/>
            </w:tcBorders>
            <w:tcMar>
              <w:top w:w="0" w:type="dxa"/>
              <w:left w:w="2" w:type="dxa"/>
              <w:bottom w:w="0" w:type="dxa"/>
              <w:right w:w="2" w:type="dxa"/>
            </w:tcMar>
            <w:hideMark/>
          </w:tcPr>
          <w:p w14:paraId="1AC09C5E" w14:textId="77777777" w:rsidR="005D07A6" w:rsidRDefault="005D07A6"/>
        </w:tc>
        <w:tc>
          <w:tcPr>
            <w:tcW w:w="0" w:type="auto"/>
            <w:vMerge/>
            <w:tcBorders>
              <w:top w:val="nil"/>
              <w:left w:val="nil"/>
              <w:bottom w:val="nil"/>
              <w:right w:val="nil"/>
            </w:tcBorders>
            <w:vAlign w:val="center"/>
            <w:hideMark/>
          </w:tcPr>
          <w:p w14:paraId="6A3B892E" w14:textId="77777777" w:rsidR="005D07A6" w:rsidRDefault="005D07A6">
            <w:pPr>
              <w:rPr>
                <w:rFonts w:eastAsiaTheme="minorEastAsia"/>
              </w:rPr>
            </w:pPr>
          </w:p>
        </w:tc>
      </w:tr>
      <w:tr w:rsidR="005D07A6" w14:paraId="61C1D713" w14:textId="77777777">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484FCF6" w14:textId="77777777" w:rsidR="005D07A6" w:rsidRDefault="00F42774">
            <w:pPr>
              <w:pStyle w:val="TA4"/>
              <w:rPr>
                <w:rFonts w:eastAsiaTheme="minorEastAsia"/>
              </w:rPr>
            </w:pPr>
            <w:r>
              <w:t>Totaux RS</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CE94CA6" w14:textId="77777777" w:rsidR="005D07A6" w:rsidRDefault="00F42774">
            <w:pPr>
              <w:pStyle w:val="TA4"/>
              <w:rPr>
                <w:rFonts w:eastAsiaTheme="minorEastAsia"/>
              </w:rPr>
            </w:pPr>
            <w:r>
              <w:t>0</w:t>
            </w:r>
          </w:p>
        </w:tc>
        <w:tc>
          <w:tcPr>
            <w:tcW w:w="3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D2E49B6" w14:textId="77777777" w:rsidR="005D07A6" w:rsidRDefault="00F42774">
            <w:pPr>
              <w:pStyle w:val="TA4"/>
              <w:rPr>
                <w:rFonts w:eastAsiaTheme="minorEastAsia"/>
              </w:rPr>
            </w:pPr>
            <w:r>
              <w:t>0</w:t>
            </w:r>
          </w:p>
        </w:tc>
        <w:tc>
          <w:tcPr>
            <w:tcW w:w="1470" w:type="dxa"/>
            <w:gridSpan w:val="2"/>
            <w:tcBorders>
              <w:top w:val="nil"/>
              <w:left w:val="single" w:sz="4" w:space="0" w:color="auto"/>
              <w:bottom w:val="nil"/>
              <w:right w:val="nil"/>
            </w:tcBorders>
            <w:tcMar>
              <w:top w:w="0" w:type="dxa"/>
              <w:left w:w="2" w:type="dxa"/>
              <w:bottom w:w="0" w:type="dxa"/>
              <w:right w:w="2" w:type="dxa"/>
            </w:tcMar>
            <w:hideMark/>
          </w:tcPr>
          <w:p w14:paraId="43CE7095" w14:textId="77777777" w:rsidR="005D07A6" w:rsidRDefault="00F42774">
            <w:pPr>
              <w:pStyle w:val="TA4"/>
              <w:rPr>
                <w:rFonts w:eastAsiaTheme="minorEastAsia"/>
              </w:rPr>
            </w:pPr>
            <w:r>
              <w:t>La résolution donne T = 6 000 et A = 3 600.</w:t>
            </w:r>
          </w:p>
        </w:tc>
      </w:tr>
    </w:tbl>
    <w:p w14:paraId="6464D0A9" w14:textId="77777777" w:rsidR="005D07A6" w:rsidRDefault="00F42774">
      <w:pPr>
        <w:pStyle w:val="TA3"/>
        <w:rPr>
          <w:rFonts w:eastAsiaTheme="minorEastAsia"/>
        </w:rPr>
      </w:pPr>
      <w:r>
        <w:t>2. 1 103 + 700 = 1 803.</w:t>
      </w:r>
    </w:p>
    <w:p w14:paraId="0AA5DEA8" w14:textId="77777777" w:rsidR="005D07A6" w:rsidRDefault="00F42774">
      <w:pPr>
        <w:pStyle w:val="TA3"/>
      </w:pPr>
      <w:r>
        <w:t>3. (840 × 0,75) + 1 352 = 630 + 1 352 = 1 982 équivalents enceintes HF.</w:t>
      </w:r>
    </w:p>
    <w:p w14:paraId="185B7ECB" w14:textId="77777777" w:rsidR="005D07A6" w:rsidRDefault="00F42774">
      <w:pPr>
        <w:pStyle w:val="TNiv1"/>
      </w:pPr>
      <w:r>
        <w:rPr>
          <w:rStyle w:val="RefQuestion"/>
        </w:rPr>
        <w:t>2</w:t>
      </w:r>
      <w:r>
        <w:t>. Calcul des coûts et résultats analytiques</w:t>
      </w:r>
    </w:p>
    <w:p w14:paraId="091BE839" w14:textId="77777777" w:rsidR="005D07A6" w:rsidRDefault="00F42774">
      <w:pPr>
        <w:pStyle w:val="TNiv2"/>
      </w:pPr>
      <w:r>
        <w:t>a) Coût d’achat des agglomérés et des filtres B</w:t>
      </w:r>
    </w:p>
    <w:tbl>
      <w:tblPr>
        <w:tblW w:w="5659" w:type="dxa"/>
        <w:tblInd w:w="1701" w:type="dxa"/>
        <w:tblLook w:val="04A0" w:firstRow="1" w:lastRow="0" w:firstColumn="1" w:lastColumn="0" w:noHBand="0" w:noVBand="1"/>
      </w:tblPr>
      <w:tblGrid>
        <w:gridCol w:w="1857"/>
        <w:gridCol w:w="1163"/>
        <w:gridCol w:w="738"/>
        <w:gridCol w:w="1163"/>
        <w:gridCol w:w="738"/>
      </w:tblGrid>
      <w:tr w:rsidR="005D07A6" w14:paraId="6E1607FE" w14:textId="77777777">
        <w:tc>
          <w:tcPr>
            <w:tcW w:w="160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EA88836" w14:textId="77777777" w:rsidR="005D07A6" w:rsidRDefault="00F42774">
            <w:pPr>
              <w:pStyle w:val="TA1"/>
              <w:jc w:val="center"/>
              <w:rPr>
                <w:rFonts w:eastAsiaTheme="minorEastAsia"/>
              </w:rPr>
            </w:pPr>
            <w:r>
              <w:rPr>
                <w:b/>
                <w:bCs/>
              </w:rPr>
              <w:t>Éléments</w:t>
            </w:r>
          </w:p>
        </w:tc>
        <w:tc>
          <w:tcPr>
            <w:tcW w:w="675"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27E2740" w14:textId="77777777" w:rsidR="005D07A6" w:rsidRDefault="00F42774">
            <w:pPr>
              <w:pStyle w:val="TA1"/>
              <w:jc w:val="center"/>
              <w:rPr>
                <w:rFonts w:eastAsiaTheme="minorEastAsia"/>
              </w:rPr>
            </w:pPr>
            <w:r>
              <w:rPr>
                <w:b/>
                <w:bCs/>
              </w:rPr>
              <w:t>Agglomérés</w:t>
            </w:r>
          </w:p>
        </w:tc>
        <w:tc>
          <w:tcPr>
            <w:tcW w:w="675"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CB4C5D2" w14:textId="77777777" w:rsidR="005D07A6" w:rsidRDefault="00F42774">
            <w:pPr>
              <w:pStyle w:val="TA1"/>
              <w:jc w:val="center"/>
              <w:rPr>
                <w:rFonts w:eastAsiaTheme="minorEastAsia"/>
              </w:rPr>
            </w:pPr>
            <w:r>
              <w:rPr>
                <w:b/>
                <w:bCs/>
              </w:rPr>
              <w:t>Filtres B</w:t>
            </w:r>
          </w:p>
        </w:tc>
      </w:tr>
      <w:tr w:rsidR="005D07A6" w14:paraId="407AE63A" w14:textId="77777777">
        <w:tc>
          <w:tcPr>
            <w:tcW w:w="16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E3D7B1B" w14:textId="77777777" w:rsidR="005D07A6" w:rsidRDefault="00F42774">
            <w:pPr>
              <w:pStyle w:val="TA1"/>
              <w:rPr>
                <w:rFonts w:eastAsiaTheme="minorEastAsia"/>
              </w:rPr>
            </w:pPr>
            <w:r>
              <w:t>Achats</w:t>
            </w:r>
          </w:p>
          <w:p w14:paraId="77A8A0EF" w14:textId="77777777" w:rsidR="005D07A6" w:rsidRDefault="00F42774">
            <w:pPr>
              <w:pStyle w:val="TA1"/>
              <w:rPr>
                <w:rFonts w:eastAsiaTheme="minorEastAsia"/>
              </w:rPr>
            </w:pPr>
            <w:r>
              <w:t>Centre approvisionnements</w:t>
            </w:r>
          </w:p>
        </w:tc>
        <w:tc>
          <w:tcPr>
            <w:tcW w:w="6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B32E0C5" w14:textId="77777777" w:rsidR="005D07A6" w:rsidRDefault="00F42774">
            <w:pPr>
              <w:pStyle w:val="TA1"/>
              <w:jc w:val="center"/>
              <w:rPr>
                <w:rFonts w:eastAsiaTheme="minorEastAsia"/>
              </w:rPr>
            </w:pPr>
            <w:r>
              <w:t>25 € × 20,02</w:t>
            </w:r>
          </w:p>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9E5A76F" w14:textId="77777777" w:rsidR="005D07A6" w:rsidRDefault="00F42774">
            <w:pPr>
              <w:pStyle w:val="TA1"/>
              <w:jc w:val="right"/>
              <w:rPr>
                <w:rFonts w:eastAsiaTheme="minorEastAsia"/>
              </w:rPr>
            </w:pPr>
            <w:r>
              <w:t>2 002</w:t>
            </w:r>
          </w:p>
          <w:p w14:paraId="4A54F3D6" w14:textId="77777777" w:rsidR="005D07A6" w:rsidRDefault="00F42774">
            <w:pPr>
              <w:pStyle w:val="TA1"/>
              <w:jc w:val="right"/>
              <w:rPr>
                <w:rFonts w:eastAsiaTheme="minorEastAsia"/>
              </w:rPr>
            </w:pPr>
            <w:r>
              <w:t>500,5</w:t>
            </w:r>
          </w:p>
        </w:tc>
        <w:tc>
          <w:tcPr>
            <w:tcW w:w="6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81B4085" w14:textId="77777777" w:rsidR="005D07A6" w:rsidRDefault="00F42774">
            <w:pPr>
              <w:pStyle w:val="TA1"/>
              <w:jc w:val="center"/>
              <w:rPr>
                <w:rFonts w:eastAsiaTheme="minorEastAsia"/>
              </w:rPr>
            </w:pPr>
            <w:r>
              <w:t>25 € × 62,70</w:t>
            </w:r>
          </w:p>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886F7C0" w14:textId="77777777" w:rsidR="005D07A6" w:rsidRDefault="00F42774">
            <w:pPr>
              <w:pStyle w:val="TA1"/>
              <w:jc w:val="right"/>
              <w:rPr>
                <w:rFonts w:eastAsiaTheme="minorEastAsia"/>
              </w:rPr>
            </w:pPr>
            <w:r>
              <w:t>6 270</w:t>
            </w:r>
          </w:p>
          <w:p w14:paraId="3CDB3487" w14:textId="77777777" w:rsidR="005D07A6" w:rsidRDefault="00F42774">
            <w:pPr>
              <w:pStyle w:val="TA1"/>
              <w:jc w:val="right"/>
              <w:rPr>
                <w:rFonts w:eastAsiaTheme="minorEastAsia"/>
              </w:rPr>
            </w:pPr>
            <w:r>
              <w:t>1 567,5</w:t>
            </w:r>
          </w:p>
        </w:tc>
      </w:tr>
      <w:tr w:rsidR="005D07A6" w14:paraId="10480FDC" w14:textId="77777777">
        <w:tc>
          <w:tcPr>
            <w:tcW w:w="16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5DF07FA" w14:textId="77777777" w:rsidR="005D07A6" w:rsidRDefault="00F42774">
            <w:pPr>
              <w:pStyle w:val="TA1"/>
              <w:rPr>
                <w:rFonts w:eastAsiaTheme="minorEastAsia"/>
              </w:rPr>
            </w:pPr>
            <w:r>
              <w:t>Coût d’achat</w:t>
            </w:r>
          </w:p>
        </w:tc>
        <w:tc>
          <w:tcPr>
            <w:tcW w:w="6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841D18C" w14:textId="77777777" w:rsidR="005D07A6" w:rsidRDefault="005D07A6"/>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010A587" w14:textId="77777777" w:rsidR="005D07A6" w:rsidRDefault="00F42774">
            <w:pPr>
              <w:pStyle w:val="TA1"/>
              <w:jc w:val="right"/>
              <w:rPr>
                <w:rFonts w:eastAsiaTheme="minorEastAsia"/>
              </w:rPr>
            </w:pPr>
            <w:r>
              <w:t>2 502,5</w:t>
            </w:r>
          </w:p>
        </w:tc>
        <w:tc>
          <w:tcPr>
            <w:tcW w:w="6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9AAF254" w14:textId="77777777" w:rsidR="005D07A6" w:rsidRDefault="005D07A6"/>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E1F4286" w14:textId="77777777" w:rsidR="005D07A6" w:rsidRDefault="00F42774">
            <w:pPr>
              <w:pStyle w:val="TA1"/>
              <w:jc w:val="right"/>
              <w:rPr>
                <w:rFonts w:eastAsiaTheme="minorEastAsia"/>
              </w:rPr>
            </w:pPr>
            <w:r>
              <w:t>7 837,5</w:t>
            </w:r>
          </w:p>
        </w:tc>
      </w:tr>
    </w:tbl>
    <w:p w14:paraId="37952418" w14:textId="77777777" w:rsidR="005D07A6" w:rsidRDefault="00F42774">
      <w:pPr>
        <w:pStyle w:val="TNiv2"/>
        <w:rPr>
          <w:rFonts w:eastAsiaTheme="minorEastAsia"/>
        </w:rPr>
      </w:pPr>
      <w:r>
        <w:t>b) Fiches de stock des éléments achetés à l’extérieur</w:t>
      </w:r>
    </w:p>
    <w:tbl>
      <w:tblPr>
        <w:tblW w:w="7541" w:type="dxa"/>
        <w:tblInd w:w="1701" w:type="dxa"/>
        <w:tblLook w:val="04A0" w:firstRow="1" w:lastRow="0" w:firstColumn="1" w:lastColumn="0" w:noHBand="0" w:noVBand="1"/>
      </w:tblPr>
      <w:tblGrid>
        <w:gridCol w:w="1396"/>
        <w:gridCol w:w="669"/>
        <w:gridCol w:w="668"/>
        <w:gridCol w:w="800"/>
        <w:gridCol w:w="668"/>
        <w:gridCol w:w="668"/>
        <w:gridCol w:w="668"/>
        <w:gridCol w:w="668"/>
        <w:gridCol w:w="668"/>
        <w:gridCol w:w="668"/>
      </w:tblGrid>
      <w:tr w:rsidR="005D07A6" w14:paraId="50B52816" w14:textId="77777777">
        <w:tc>
          <w:tcPr>
            <w:tcW w:w="1065" w:type="dxa"/>
            <w:tcBorders>
              <w:top w:val="nil"/>
              <w:left w:val="nil"/>
              <w:bottom w:val="single" w:sz="4" w:space="0" w:color="auto"/>
              <w:right w:val="single" w:sz="4" w:space="0" w:color="auto"/>
            </w:tcBorders>
            <w:tcMar>
              <w:top w:w="0" w:type="dxa"/>
              <w:left w:w="2" w:type="dxa"/>
              <w:bottom w:w="0" w:type="dxa"/>
              <w:right w:w="2" w:type="dxa"/>
            </w:tcMar>
            <w:hideMark/>
          </w:tcPr>
          <w:p w14:paraId="6F9676E5" w14:textId="77777777" w:rsidR="005D07A6" w:rsidRDefault="005D07A6"/>
        </w:tc>
        <w:tc>
          <w:tcPr>
            <w:tcW w:w="510"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A5C28A6" w14:textId="77777777" w:rsidR="005D07A6" w:rsidRDefault="00F42774">
            <w:pPr>
              <w:pStyle w:val="TA1"/>
              <w:jc w:val="center"/>
              <w:rPr>
                <w:rFonts w:eastAsiaTheme="minorEastAsia"/>
              </w:rPr>
            </w:pPr>
            <w:r>
              <w:rPr>
                <w:b/>
                <w:bCs/>
              </w:rPr>
              <w:t>Agglomérés</w:t>
            </w:r>
          </w:p>
        </w:tc>
        <w:tc>
          <w:tcPr>
            <w:tcW w:w="510"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C905314" w14:textId="77777777" w:rsidR="005D07A6" w:rsidRDefault="00F42774">
            <w:pPr>
              <w:pStyle w:val="TA1"/>
              <w:jc w:val="center"/>
              <w:rPr>
                <w:rFonts w:eastAsiaTheme="minorEastAsia"/>
              </w:rPr>
            </w:pPr>
            <w:r>
              <w:rPr>
                <w:b/>
                <w:bCs/>
              </w:rPr>
              <w:t>Absorbant phonique</w:t>
            </w:r>
          </w:p>
        </w:tc>
        <w:tc>
          <w:tcPr>
            <w:tcW w:w="510"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7CFF9F7" w14:textId="77777777" w:rsidR="005D07A6" w:rsidRDefault="00F42774">
            <w:pPr>
              <w:pStyle w:val="TA1"/>
              <w:jc w:val="center"/>
              <w:rPr>
                <w:rFonts w:eastAsiaTheme="minorEastAsia"/>
              </w:rPr>
            </w:pPr>
            <w:r>
              <w:rPr>
                <w:b/>
                <w:bCs/>
              </w:rPr>
              <w:t>Tissu acoustique</w:t>
            </w:r>
          </w:p>
        </w:tc>
      </w:tr>
      <w:tr w:rsidR="005D07A6" w14:paraId="4D4FFE2C" w14:textId="77777777">
        <w:tc>
          <w:tcPr>
            <w:tcW w:w="106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0CFA60A" w14:textId="77777777" w:rsidR="005D07A6" w:rsidRDefault="00F42774">
            <w:pPr>
              <w:pStyle w:val="TA1"/>
              <w:rPr>
                <w:rFonts w:eastAsiaTheme="minorEastAsia"/>
              </w:rPr>
            </w:pPr>
            <w:r>
              <w:rPr>
                <w:b/>
                <w:bCs/>
              </w:rPr>
              <w:t>Stock initial</w:t>
            </w:r>
          </w:p>
          <w:p w14:paraId="4921A380" w14:textId="77777777" w:rsidR="005D07A6" w:rsidRDefault="00F42774">
            <w:pPr>
              <w:pStyle w:val="TA1"/>
              <w:rPr>
                <w:rFonts w:eastAsiaTheme="minorEastAsia"/>
              </w:rPr>
            </w:pPr>
            <w:r>
              <w:rPr>
                <w:b/>
                <w:bCs/>
              </w:rPr>
              <w:t>Entrées</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A8A457C" w14:textId="77777777" w:rsidR="005D07A6" w:rsidRDefault="00F42774">
            <w:pPr>
              <w:pStyle w:val="TA1"/>
              <w:jc w:val="right"/>
              <w:rPr>
                <w:rFonts w:eastAsiaTheme="minorEastAsia"/>
              </w:rPr>
            </w:pPr>
            <w:r>
              <w:t>1 000</w:t>
            </w:r>
          </w:p>
          <w:p w14:paraId="159873AD" w14:textId="77777777" w:rsidR="005D07A6" w:rsidRDefault="00F42774">
            <w:pPr>
              <w:pStyle w:val="TA1"/>
              <w:jc w:val="right"/>
              <w:rPr>
                <w:rFonts w:eastAsiaTheme="minorEastAsia"/>
              </w:rPr>
            </w:pPr>
            <w:r>
              <w:t>2 000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49A6E38" w14:textId="77777777" w:rsidR="005D07A6" w:rsidRDefault="005D07A6"/>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38320EE" w14:textId="77777777" w:rsidR="005D07A6" w:rsidRDefault="00F42774">
            <w:pPr>
              <w:pStyle w:val="TA1"/>
              <w:jc w:val="right"/>
              <w:rPr>
                <w:rFonts w:eastAsiaTheme="minorEastAsia"/>
              </w:rPr>
            </w:pPr>
            <w:r>
              <w:t>1 097,5</w:t>
            </w:r>
          </w:p>
          <w:p w14:paraId="589301FB" w14:textId="77777777" w:rsidR="005D07A6" w:rsidRDefault="00F42774">
            <w:pPr>
              <w:pStyle w:val="TA1"/>
              <w:jc w:val="right"/>
              <w:rPr>
                <w:rFonts w:eastAsiaTheme="minorEastAsia"/>
              </w:rPr>
            </w:pPr>
            <w:r>
              <w:t>2 502,5</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ABFEAE1" w14:textId="77777777" w:rsidR="005D07A6" w:rsidRDefault="00F42774">
            <w:pPr>
              <w:pStyle w:val="TA1"/>
              <w:jc w:val="right"/>
              <w:rPr>
                <w:rFonts w:eastAsiaTheme="minorEastAsia"/>
              </w:rPr>
            </w:pPr>
            <w:r>
              <w:t>900</w:t>
            </w:r>
          </w:p>
          <w:p w14:paraId="4FA27468" w14:textId="77777777" w:rsidR="005D07A6" w:rsidRDefault="00F42774">
            <w:pPr>
              <w:pStyle w:val="TA1"/>
              <w:jc w:val="right"/>
              <w:rPr>
                <w:rFonts w:eastAsiaTheme="minorEastAsia"/>
              </w:rPr>
            </w:pPr>
            <w:r>
              <w:t>–</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6589C3D" w14:textId="77777777" w:rsidR="005D07A6" w:rsidRDefault="005D07A6"/>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06E9D90" w14:textId="77777777" w:rsidR="005D07A6" w:rsidRDefault="00F42774">
            <w:pPr>
              <w:pStyle w:val="TA1"/>
              <w:jc w:val="right"/>
              <w:rPr>
                <w:rFonts w:eastAsiaTheme="minorEastAsia"/>
              </w:rPr>
            </w:pPr>
            <w:r>
              <w:t>900</w:t>
            </w:r>
          </w:p>
          <w:p w14:paraId="1E9F6924" w14:textId="77777777" w:rsidR="005D07A6" w:rsidRDefault="00F42774">
            <w:pPr>
              <w:pStyle w:val="TA1"/>
              <w:jc w:val="right"/>
              <w:rPr>
                <w:rFonts w:eastAsiaTheme="minorEastAsia"/>
              </w:rPr>
            </w:pPr>
            <w:r>
              <w:t>–</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4915D06" w14:textId="77777777" w:rsidR="005D07A6" w:rsidRDefault="00F42774">
            <w:pPr>
              <w:pStyle w:val="TA1"/>
              <w:jc w:val="right"/>
              <w:rPr>
                <w:rFonts w:eastAsiaTheme="minorEastAsia"/>
              </w:rPr>
            </w:pPr>
            <w:r>
              <w:t>2 000</w:t>
            </w:r>
          </w:p>
          <w:p w14:paraId="37AA8BF1" w14:textId="77777777" w:rsidR="005D07A6" w:rsidRDefault="00F42774">
            <w:pPr>
              <w:pStyle w:val="TA1"/>
              <w:jc w:val="right"/>
              <w:rPr>
                <w:rFonts w:eastAsiaTheme="minorEastAsia"/>
              </w:rPr>
            </w:pPr>
            <w:r>
              <w:t>–</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4C77172" w14:textId="77777777" w:rsidR="005D07A6" w:rsidRDefault="005D07A6"/>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257F48A" w14:textId="77777777" w:rsidR="005D07A6" w:rsidRDefault="00F42774">
            <w:pPr>
              <w:pStyle w:val="TA1"/>
              <w:jc w:val="right"/>
              <w:rPr>
                <w:rFonts w:eastAsiaTheme="minorEastAsia"/>
              </w:rPr>
            </w:pPr>
            <w:r>
              <w:t>3 320</w:t>
            </w:r>
          </w:p>
          <w:p w14:paraId="534D089B" w14:textId="77777777" w:rsidR="005D07A6" w:rsidRDefault="00F42774">
            <w:pPr>
              <w:pStyle w:val="TA1"/>
              <w:jc w:val="right"/>
              <w:rPr>
                <w:rFonts w:eastAsiaTheme="minorEastAsia"/>
              </w:rPr>
            </w:pPr>
            <w:r>
              <w:t>–</w:t>
            </w:r>
          </w:p>
        </w:tc>
      </w:tr>
      <w:tr w:rsidR="005D07A6" w14:paraId="3E2CF9C3" w14:textId="77777777">
        <w:tc>
          <w:tcPr>
            <w:tcW w:w="106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0D6ABFD" w14:textId="77777777" w:rsidR="005D07A6" w:rsidRDefault="00F42774">
            <w:pPr>
              <w:pStyle w:val="TA1"/>
              <w:rPr>
                <w:rFonts w:eastAsiaTheme="minorEastAsia"/>
              </w:rPr>
            </w:pPr>
            <w:r>
              <w:rPr>
                <w:b/>
                <w:bCs/>
              </w:rPr>
              <w:t>Total</w:t>
            </w:r>
          </w:p>
          <w:p w14:paraId="1690BFC3" w14:textId="77777777" w:rsidR="005D07A6" w:rsidRDefault="00F42774">
            <w:pPr>
              <w:pStyle w:val="TA1"/>
              <w:rPr>
                <w:rFonts w:eastAsiaTheme="minorEastAsia"/>
              </w:rPr>
            </w:pPr>
            <w:r>
              <w:rPr>
                <w:b/>
                <w:bCs/>
              </w:rPr>
              <w:t>Sorties</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A194DD1" w14:textId="77777777" w:rsidR="005D07A6" w:rsidRDefault="00F42774">
            <w:pPr>
              <w:pStyle w:val="TA1"/>
              <w:jc w:val="right"/>
              <w:rPr>
                <w:rFonts w:eastAsiaTheme="minorEastAsia"/>
              </w:rPr>
            </w:pPr>
            <w:r>
              <w:t>3 000</w:t>
            </w:r>
          </w:p>
          <w:p w14:paraId="47CB2AAF" w14:textId="77777777" w:rsidR="005D07A6" w:rsidRDefault="00F42774">
            <w:pPr>
              <w:pStyle w:val="TA1"/>
              <w:jc w:val="right"/>
              <w:rPr>
                <w:rFonts w:eastAsiaTheme="minorEastAsia"/>
              </w:rPr>
            </w:pPr>
            <w:r>
              <w:t>2 130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8315AA8" w14:textId="77777777" w:rsidR="005D07A6" w:rsidRDefault="00F42774">
            <w:pPr>
              <w:pStyle w:val="TA1"/>
              <w:jc w:val="right"/>
              <w:rPr>
                <w:rFonts w:eastAsiaTheme="minorEastAsia"/>
              </w:rPr>
            </w:pPr>
            <w:r>
              <w:t>1,2</w:t>
            </w:r>
          </w:p>
          <w:p w14:paraId="786FCC20" w14:textId="77777777" w:rsidR="005D07A6" w:rsidRDefault="00F42774">
            <w:pPr>
              <w:pStyle w:val="TA1"/>
              <w:jc w:val="right"/>
              <w:rPr>
                <w:rFonts w:eastAsiaTheme="minorEastAsia"/>
              </w:rPr>
            </w:pPr>
            <w:r>
              <w:t>1,2</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3F6D372" w14:textId="77777777" w:rsidR="005D07A6" w:rsidRDefault="00F42774">
            <w:pPr>
              <w:pStyle w:val="TA1"/>
              <w:jc w:val="right"/>
              <w:rPr>
                <w:rFonts w:eastAsiaTheme="minorEastAsia"/>
              </w:rPr>
            </w:pPr>
            <w:r>
              <w:t>3 600,0</w:t>
            </w:r>
          </w:p>
          <w:p w14:paraId="5F1AA4F0" w14:textId="77777777" w:rsidR="005D07A6" w:rsidRDefault="00F42774">
            <w:pPr>
              <w:pStyle w:val="TA1"/>
              <w:jc w:val="right"/>
              <w:rPr>
                <w:rFonts w:eastAsiaTheme="minorEastAsia"/>
              </w:rPr>
            </w:pPr>
            <w:r>
              <w:t>2 556,0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C367404" w14:textId="77777777" w:rsidR="005D07A6" w:rsidRDefault="00F42774">
            <w:pPr>
              <w:pStyle w:val="TA1"/>
              <w:jc w:val="right"/>
              <w:rPr>
                <w:rFonts w:eastAsiaTheme="minorEastAsia"/>
              </w:rPr>
            </w:pPr>
            <w:r>
              <w:t>900</w:t>
            </w:r>
          </w:p>
          <w:p w14:paraId="700D7559" w14:textId="77777777" w:rsidR="005D07A6" w:rsidRDefault="00F42774">
            <w:pPr>
              <w:pStyle w:val="TA1"/>
              <w:jc w:val="right"/>
              <w:rPr>
                <w:rFonts w:eastAsiaTheme="minorEastAsia"/>
              </w:rPr>
            </w:pPr>
            <w:r>
              <w:t>800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F5BC480" w14:textId="77777777" w:rsidR="005D07A6" w:rsidRDefault="00F42774">
            <w:pPr>
              <w:pStyle w:val="TA1"/>
              <w:jc w:val="center"/>
              <w:rPr>
                <w:rFonts w:eastAsiaTheme="minorEastAsia"/>
              </w:rPr>
            </w:pPr>
            <w:r>
              <w:t>1</w:t>
            </w:r>
          </w:p>
          <w:p w14:paraId="0E8E555E" w14:textId="77777777" w:rsidR="005D07A6" w:rsidRDefault="00F42774">
            <w:pPr>
              <w:pStyle w:val="TA1"/>
              <w:jc w:val="center"/>
              <w:rPr>
                <w:rFonts w:eastAsiaTheme="minorEastAsia"/>
              </w:rPr>
            </w:pPr>
            <w:r>
              <w:t>1</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56DBC16" w14:textId="77777777" w:rsidR="005D07A6" w:rsidRDefault="00F42774">
            <w:pPr>
              <w:pStyle w:val="TA1"/>
              <w:jc w:val="right"/>
              <w:rPr>
                <w:rFonts w:eastAsiaTheme="minorEastAsia"/>
              </w:rPr>
            </w:pPr>
            <w:r>
              <w:t>900</w:t>
            </w:r>
          </w:p>
          <w:p w14:paraId="5DD54FAA" w14:textId="77777777" w:rsidR="005D07A6" w:rsidRDefault="00F42774">
            <w:pPr>
              <w:pStyle w:val="TA1"/>
              <w:jc w:val="right"/>
              <w:rPr>
                <w:rFonts w:eastAsiaTheme="minorEastAsia"/>
              </w:rPr>
            </w:pPr>
            <w:r>
              <w:t>800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B5E0506" w14:textId="77777777" w:rsidR="005D07A6" w:rsidRDefault="00F42774">
            <w:pPr>
              <w:pStyle w:val="TA1"/>
              <w:jc w:val="right"/>
              <w:rPr>
                <w:rFonts w:eastAsiaTheme="minorEastAsia"/>
              </w:rPr>
            </w:pPr>
            <w:r>
              <w:t>2 000</w:t>
            </w:r>
          </w:p>
          <w:p w14:paraId="40F38FF8" w14:textId="77777777" w:rsidR="005D07A6" w:rsidRDefault="00F42774">
            <w:pPr>
              <w:pStyle w:val="TA1"/>
              <w:jc w:val="right"/>
              <w:rPr>
                <w:rFonts w:eastAsiaTheme="minorEastAsia"/>
              </w:rPr>
            </w:pPr>
            <w:r>
              <w:t>1 300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AE7004C" w14:textId="77777777" w:rsidR="005D07A6" w:rsidRDefault="00F42774">
            <w:pPr>
              <w:pStyle w:val="TA1"/>
              <w:jc w:val="right"/>
              <w:rPr>
                <w:rFonts w:eastAsiaTheme="minorEastAsia"/>
              </w:rPr>
            </w:pPr>
            <w:r>
              <w:t>1,66</w:t>
            </w:r>
          </w:p>
          <w:p w14:paraId="6B035054" w14:textId="77777777" w:rsidR="005D07A6" w:rsidRDefault="00F42774">
            <w:pPr>
              <w:pStyle w:val="TA1"/>
              <w:jc w:val="right"/>
              <w:rPr>
                <w:rFonts w:eastAsiaTheme="minorEastAsia"/>
              </w:rPr>
            </w:pPr>
            <w:r>
              <w:t>1,66</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92D95DB" w14:textId="77777777" w:rsidR="005D07A6" w:rsidRDefault="00F42774">
            <w:pPr>
              <w:pStyle w:val="TA1"/>
              <w:jc w:val="right"/>
              <w:rPr>
                <w:rFonts w:eastAsiaTheme="minorEastAsia"/>
              </w:rPr>
            </w:pPr>
            <w:r>
              <w:t>3 320</w:t>
            </w:r>
          </w:p>
          <w:p w14:paraId="64DAEFC3" w14:textId="77777777" w:rsidR="005D07A6" w:rsidRDefault="00F42774">
            <w:pPr>
              <w:pStyle w:val="TA1"/>
              <w:jc w:val="right"/>
              <w:rPr>
                <w:rFonts w:eastAsiaTheme="minorEastAsia"/>
              </w:rPr>
            </w:pPr>
            <w:r>
              <w:t>2 158</w:t>
            </w:r>
          </w:p>
        </w:tc>
      </w:tr>
      <w:tr w:rsidR="005D07A6" w14:paraId="792CE7C8" w14:textId="77777777">
        <w:tc>
          <w:tcPr>
            <w:tcW w:w="106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E767339" w14:textId="77777777" w:rsidR="005D07A6" w:rsidRDefault="00F42774">
            <w:pPr>
              <w:pStyle w:val="TA1"/>
              <w:rPr>
                <w:rFonts w:eastAsiaTheme="minorEastAsia"/>
              </w:rPr>
            </w:pPr>
            <w:r>
              <w:rPr>
                <w:b/>
                <w:bCs/>
              </w:rPr>
              <w:t>SF théorique</w:t>
            </w:r>
          </w:p>
          <w:p w14:paraId="012F3331" w14:textId="77777777" w:rsidR="005D07A6" w:rsidRDefault="00F42774">
            <w:pPr>
              <w:pStyle w:val="TA1"/>
              <w:rPr>
                <w:rFonts w:eastAsiaTheme="minorEastAsia"/>
              </w:rPr>
            </w:pPr>
            <w:r>
              <w:rPr>
                <w:b/>
                <w:bCs/>
              </w:rPr>
              <w:t>Écart d’inventaire</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ACB9E58" w14:textId="77777777" w:rsidR="005D07A6" w:rsidRDefault="00F42774">
            <w:pPr>
              <w:pStyle w:val="TA1"/>
              <w:jc w:val="right"/>
              <w:rPr>
                <w:rFonts w:eastAsiaTheme="minorEastAsia"/>
              </w:rPr>
            </w:pPr>
            <w:r>
              <w:t>870</w:t>
            </w:r>
          </w:p>
          <w:p w14:paraId="40864AA5" w14:textId="77777777" w:rsidR="005D07A6" w:rsidRDefault="00F42774">
            <w:pPr>
              <w:pStyle w:val="TA1"/>
              <w:jc w:val="right"/>
              <w:rPr>
                <w:rFonts w:eastAsiaTheme="minorEastAsia"/>
              </w:rPr>
            </w:pPr>
            <w:r>
              <w:t>– 10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AEA7584" w14:textId="77777777" w:rsidR="005D07A6" w:rsidRDefault="00F42774">
            <w:pPr>
              <w:pStyle w:val="TA1"/>
              <w:jc w:val="right"/>
              <w:rPr>
                <w:rFonts w:eastAsiaTheme="minorEastAsia"/>
              </w:rPr>
            </w:pPr>
            <w:r>
              <w:t>1,2</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FAB3BBF" w14:textId="77777777" w:rsidR="005D07A6" w:rsidRDefault="00F42774">
            <w:pPr>
              <w:pStyle w:val="TA1"/>
              <w:jc w:val="right"/>
              <w:rPr>
                <w:rFonts w:eastAsiaTheme="minorEastAsia"/>
              </w:rPr>
            </w:pPr>
            <w:r>
              <w:t>1 044,0</w:t>
            </w:r>
          </w:p>
          <w:p w14:paraId="371FCC5A" w14:textId="77777777" w:rsidR="005D07A6" w:rsidRDefault="00F42774">
            <w:pPr>
              <w:pStyle w:val="TA1"/>
              <w:jc w:val="right"/>
              <w:rPr>
                <w:rFonts w:eastAsiaTheme="minorEastAsia"/>
              </w:rPr>
            </w:pPr>
            <w:r>
              <w:t>– 12,0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9EF7ADA" w14:textId="77777777" w:rsidR="005D07A6" w:rsidRDefault="00F42774">
            <w:pPr>
              <w:pStyle w:val="TA1"/>
              <w:jc w:val="right"/>
              <w:rPr>
                <w:rFonts w:eastAsiaTheme="minorEastAsia"/>
              </w:rPr>
            </w:pPr>
            <w:r>
              <w:t>100</w:t>
            </w:r>
          </w:p>
          <w:p w14:paraId="5348D516" w14:textId="77777777" w:rsidR="005D07A6" w:rsidRDefault="00F42774">
            <w:pPr>
              <w:pStyle w:val="TA1"/>
              <w:jc w:val="right"/>
              <w:rPr>
                <w:rFonts w:eastAsiaTheme="minorEastAsia"/>
              </w:rPr>
            </w:pPr>
            <w:r>
              <w:t>+ 10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C23894E" w14:textId="77777777" w:rsidR="005D07A6" w:rsidRDefault="00F42774">
            <w:pPr>
              <w:pStyle w:val="TA1"/>
              <w:jc w:val="center"/>
              <w:rPr>
                <w:rFonts w:eastAsiaTheme="minorEastAsia"/>
              </w:rPr>
            </w:pPr>
            <w:r>
              <w:t>1</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A5746C8" w14:textId="77777777" w:rsidR="005D07A6" w:rsidRDefault="00F42774">
            <w:pPr>
              <w:pStyle w:val="TA1"/>
              <w:jc w:val="right"/>
              <w:rPr>
                <w:rFonts w:eastAsiaTheme="minorEastAsia"/>
              </w:rPr>
            </w:pPr>
            <w:r>
              <w:t>100</w:t>
            </w:r>
          </w:p>
          <w:p w14:paraId="31435181" w14:textId="77777777" w:rsidR="005D07A6" w:rsidRDefault="00F42774">
            <w:pPr>
              <w:pStyle w:val="TA1"/>
              <w:jc w:val="right"/>
              <w:rPr>
                <w:rFonts w:eastAsiaTheme="minorEastAsia"/>
              </w:rPr>
            </w:pPr>
            <w:r>
              <w:t>+ 10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E9A9C73" w14:textId="77777777" w:rsidR="005D07A6" w:rsidRDefault="00F42774">
            <w:pPr>
              <w:pStyle w:val="TA1"/>
              <w:jc w:val="right"/>
              <w:rPr>
                <w:rFonts w:eastAsiaTheme="minorEastAsia"/>
              </w:rPr>
            </w:pPr>
            <w:r>
              <w:t>700</w:t>
            </w:r>
          </w:p>
          <w:p w14:paraId="0C70D8C6" w14:textId="77777777" w:rsidR="005D07A6" w:rsidRDefault="00F42774">
            <w:pPr>
              <w:pStyle w:val="TA1"/>
              <w:jc w:val="right"/>
              <w:rPr>
                <w:rFonts w:eastAsiaTheme="minorEastAsia"/>
              </w:rPr>
            </w:pPr>
            <w:r>
              <w:t>–</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038D41B" w14:textId="77777777" w:rsidR="005D07A6" w:rsidRDefault="005D07A6"/>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F2E0824" w14:textId="77777777" w:rsidR="005D07A6" w:rsidRDefault="00F42774">
            <w:pPr>
              <w:pStyle w:val="TA1"/>
              <w:jc w:val="right"/>
              <w:rPr>
                <w:rFonts w:eastAsiaTheme="minorEastAsia"/>
              </w:rPr>
            </w:pPr>
            <w:r>
              <w:t>1 162</w:t>
            </w:r>
          </w:p>
          <w:p w14:paraId="23FB4258" w14:textId="77777777" w:rsidR="005D07A6" w:rsidRDefault="00F42774">
            <w:pPr>
              <w:pStyle w:val="TA1"/>
              <w:jc w:val="right"/>
              <w:rPr>
                <w:rFonts w:eastAsiaTheme="minorEastAsia"/>
              </w:rPr>
            </w:pPr>
            <w:r>
              <w:t>–</w:t>
            </w:r>
          </w:p>
        </w:tc>
      </w:tr>
      <w:tr w:rsidR="005D07A6" w14:paraId="1B0691B3" w14:textId="77777777">
        <w:tc>
          <w:tcPr>
            <w:tcW w:w="106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AC4DE3D" w14:textId="77777777" w:rsidR="005D07A6" w:rsidRDefault="00F42774">
            <w:pPr>
              <w:pStyle w:val="TA1"/>
              <w:rPr>
                <w:rFonts w:eastAsiaTheme="minorEastAsia"/>
              </w:rPr>
            </w:pPr>
            <w:r>
              <w:rPr>
                <w:b/>
                <w:bCs/>
              </w:rPr>
              <w:t>SF réel</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D8EAA4A" w14:textId="77777777" w:rsidR="005D07A6" w:rsidRDefault="00F42774">
            <w:pPr>
              <w:pStyle w:val="TA1"/>
              <w:jc w:val="right"/>
              <w:rPr>
                <w:rFonts w:eastAsiaTheme="minorEastAsia"/>
              </w:rPr>
            </w:pPr>
            <w:r>
              <w:t>860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527DACE" w14:textId="77777777" w:rsidR="005D07A6" w:rsidRDefault="005D07A6"/>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5020FD7" w14:textId="77777777" w:rsidR="005D07A6" w:rsidRDefault="00F42774">
            <w:pPr>
              <w:pStyle w:val="TA1"/>
              <w:jc w:val="right"/>
              <w:rPr>
                <w:rFonts w:eastAsiaTheme="minorEastAsia"/>
              </w:rPr>
            </w:pPr>
            <w:r>
              <w:t>1 032,0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B26805F" w14:textId="77777777" w:rsidR="005D07A6" w:rsidRDefault="00F42774">
            <w:pPr>
              <w:pStyle w:val="TA1"/>
              <w:jc w:val="right"/>
              <w:rPr>
                <w:rFonts w:eastAsiaTheme="minorEastAsia"/>
              </w:rPr>
            </w:pPr>
            <w:r>
              <w:t>110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F17B17A" w14:textId="77777777" w:rsidR="005D07A6" w:rsidRDefault="005D07A6"/>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B005DA1" w14:textId="77777777" w:rsidR="005D07A6" w:rsidRDefault="00F42774">
            <w:pPr>
              <w:pStyle w:val="TA1"/>
              <w:jc w:val="right"/>
              <w:rPr>
                <w:rFonts w:eastAsiaTheme="minorEastAsia"/>
              </w:rPr>
            </w:pPr>
            <w:r>
              <w:t>110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814A7D3" w14:textId="77777777" w:rsidR="005D07A6" w:rsidRDefault="00F42774">
            <w:pPr>
              <w:pStyle w:val="TA1"/>
              <w:jc w:val="right"/>
              <w:rPr>
                <w:rFonts w:eastAsiaTheme="minorEastAsia"/>
              </w:rPr>
            </w:pPr>
            <w:r>
              <w:t>700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B774EA6" w14:textId="77777777" w:rsidR="005D07A6" w:rsidRDefault="005D07A6"/>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B112007" w14:textId="77777777" w:rsidR="005D07A6" w:rsidRDefault="00F42774">
            <w:pPr>
              <w:pStyle w:val="TA1"/>
              <w:jc w:val="right"/>
              <w:rPr>
                <w:rFonts w:eastAsiaTheme="minorEastAsia"/>
              </w:rPr>
            </w:pPr>
            <w:r>
              <w:t>1 162</w:t>
            </w:r>
          </w:p>
        </w:tc>
      </w:tr>
    </w:tbl>
    <w:p w14:paraId="66103BBE" w14:textId="77777777" w:rsidR="005D07A6" w:rsidRDefault="005D07A6">
      <w:pPr>
        <w:pStyle w:val="CTEspDessous"/>
        <w:rPr>
          <w:rFonts w:eastAsiaTheme="minorEastAsia"/>
        </w:rPr>
      </w:pPr>
    </w:p>
    <w:tbl>
      <w:tblPr>
        <w:tblW w:w="7541" w:type="dxa"/>
        <w:tblInd w:w="1701" w:type="dxa"/>
        <w:tblLook w:val="04A0" w:firstRow="1" w:lastRow="0" w:firstColumn="1" w:lastColumn="0" w:noHBand="0" w:noVBand="1"/>
      </w:tblPr>
      <w:tblGrid>
        <w:gridCol w:w="1303"/>
        <w:gridCol w:w="651"/>
        <w:gridCol w:w="651"/>
        <w:gridCol w:w="650"/>
        <w:gridCol w:w="650"/>
        <w:gridCol w:w="650"/>
        <w:gridCol w:w="907"/>
        <w:gridCol w:w="650"/>
        <w:gridCol w:w="650"/>
        <w:gridCol w:w="779"/>
      </w:tblGrid>
      <w:tr w:rsidR="005D07A6" w14:paraId="1ECD1F24" w14:textId="77777777">
        <w:tc>
          <w:tcPr>
            <w:tcW w:w="1020" w:type="dxa"/>
            <w:tcBorders>
              <w:top w:val="nil"/>
              <w:left w:val="nil"/>
              <w:bottom w:val="single" w:sz="4" w:space="0" w:color="auto"/>
              <w:right w:val="single" w:sz="4" w:space="0" w:color="auto"/>
            </w:tcBorders>
            <w:tcMar>
              <w:top w:w="0" w:type="dxa"/>
              <w:left w:w="2" w:type="dxa"/>
              <w:bottom w:w="0" w:type="dxa"/>
              <w:right w:w="2" w:type="dxa"/>
            </w:tcMar>
            <w:hideMark/>
          </w:tcPr>
          <w:p w14:paraId="17D0DF50" w14:textId="77777777" w:rsidR="005D07A6" w:rsidRDefault="005D07A6"/>
        </w:tc>
        <w:tc>
          <w:tcPr>
            <w:tcW w:w="510"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313BA22" w14:textId="77777777" w:rsidR="005D07A6" w:rsidRDefault="00F42774">
            <w:pPr>
              <w:pStyle w:val="TA1"/>
              <w:jc w:val="center"/>
              <w:rPr>
                <w:rFonts w:eastAsiaTheme="minorEastAsia"/>
              </w:rPr>
            </w:pPr>
            <w:r>
              <w:rPr>
                <w:b/>
                <w:bCs/>
              </w:rPr>
              <w:t>Filtres A</w:t>
            </w:r>
          </w:p>
        </w:tc>
        <w:tc>
          <w:tcPr>
            <w:tcW w:w="510"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6D87B6C" w14:textId="77777777" w:rsidR="005D07A6" w:rsidRDefault="00F42774">
            <w:pPr>
              <w:pStyle w:val="TA1"/>
              <w:jc w:val="center"/>
              <w:rPr>
                <w:rFonts w:eastAsiaTheme="minorEastAsia"/>
              </w:rPr>
            </w:pPr>
            <w:r>
              <w:rPr>
                <w:b/>
                <w:bCs/>
              </w:rPr>
              <w:t>Filtres B</w:t>
            </w:r>
          </w:p>
        </w:tc>
        <w:tc>
          <w:tcPr>
            <w:tcW w:w="510"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A03CC9B" w14:textId="77777777" w:rsidR="005D07A6" w:rsidRDefault="00F42774">
            <w:pPr>
              <w:pStyle w:val="TA1"/>
              <w:jc w:val="center"/>
              <w:rPr>
                <w:rFonts w:eastAsiaTheme="minorEastAsia"/>
              </w:rPr>
            </w:pPr>
            <w:r>
              <w:rPr>
                <w:b/>
                <w:bCs/>
              </w:rPr>
              <w:t>Carcasses</w:t>
            </w:r>
          </w:p>
        </w:tc>
      </w:tr>
      <w:tr w:rsidR="005D07A6" w14:paraId="00099DC3" w14:textId="77777777">
        <w:tc>
          <w:tcPr>
            <w:tcW w:w="10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E3070D5" w14:textId="77777777" w:rsidR="005D07A6" w:rsidRDefault="00F42774">
            <w:pPr>
              <w:pStyle w:val="TA1"/>
              <w:rPr>
                <w:rFonts w:eastAsiaTheme="minorEastAsia"/>
              </w:rPr>
            </w:pPr>
            <w:r>
              <w:rPr>
                <w:b/>
                <w:bCs/>
              </w:rPr>
              <w:t>Stock initial</w:t>
            </w:r>
          </w:p>
          <w:p w14:paraId="63658387" w14:textId="77777777" w:rsidR="005D07A6" w:rsidRDefault="00F42774">
            <w:pPr>
              <w:pStyle w:val="TA1"/>
              <w:rPr>
                <w:rFonts w:eastAsiaTheme="minorEastAsia"/>
              </w:rPr>
            </w:pPr>
            <w:r>
              <w:rPr>
                <w:b/>
                <w:bCs/>
              </w:rPr>
              <w:t>Entrées</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873BE50" w14:textId="77777777" w:rsidR="005D07A6" w:rsidRDefault="00F42774">
            <w:pPr>
              <w:pStyle w:val="TA1"/>
              <w:jc w:val="right"/>
              <w:rPr>
                <w:rFonts w:eastAsiaTheme="minorEastAsia"/>
              </w:rPr>
            </w:pPr>
            <w:r>
              <w:t>950</w:t>
            </w:r>
          </w:p>
          <w:p w14:paraId="1B58EEF6" w14:textId="77777777" w:rsidR="005D07A6" w:rsidRDefault="00F42774">
            <w:pPr>
              <w:pStyle w:val="TA1"/>
              <w:jc w:val="right"/>
              <w:rPr>
                <w:rFonts w:eastAsiaTheme="minorEastAsia"/>
              </w:rPr>
            </w:pPr>
            <w:r>
              <w:t>–</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DD41C6C" w14:textId="77777777" w:rsidR="005D07A6" w:rsidRDefault="005D07A6"/>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D5338E6" w14:textId="77777777" w:rsidR="005D07A6" w:rsidRDefault="00F42774">
            <w:pPr>
              <w:pStyle w:val="TA1"/>
              <w:jc w:val="right"/>
              <w:rPr>
                <w:rFonts w:eastAsiaTheme="minorEastAsia"/>
              </w:rPr>
            </w:pPr>
            <w:r>
              <w:t>7 790</w:t>
            </w:r>
          </w:p>
          <w:p w14:paraId="4CBA84FA" w14:textId="77777777" w:rsidR="005D07A6" w:rsidRDefault="00F42774">
            <w:pPr>
              <w:pStyle w:val="TA1"/>
              <w:jc w:val="right"/>
              <w:rPr>
                <w:rFonts w:eastAsiaTheme="minorEastAsia"/>
              </w:rPr>
            </w:pPr>
            <w:r>
              <w:t>–</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A8C5838" w14:textId="77777777" w:rsidR="005D07A6" w:rsidRDefault="00F42774">
            <w:pPr>
              <w:pStyle w:val="TA1"/>
              <w:jc w:val="right"/>
              <w:rPr>
                <w:rFonts w:eastAsiaTheme="minorEastAsia"/>
              </w:rPr>
            </w:pPr>
            <w:r>
              <w:t>1 203</w:t>
            </w:r>
          </w:p>
          <w:p w14:paraId="6521174F" w14:textId="77777777" w:rsidR="005D07A6" w:rsidRDefault="00F42774">
            <w:pPr>
              <w:pStyle w:val="TA1"/>
              <w:jc w:val="right"/>
              <w:rPr>
                <w:rFonts w:eastAsiaTheme="minorEastAsia"/>
              </w:rPr>
            </w:pPr>
            <w:r>
              <w:t>597</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1883007" w14:textId="77777777" w:rsidR="005D07A6" w:rsidRDefault="005D07A6"/>
        </w:tc>
        <w:tc>
          <w:tcPr>
            <w:tcW w:w="5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0A75FD3" w14:textId="77777777" w:rsidR="005D07A6" w:rsidRDefault="00F42774">
            <w:pPr>
              <w:pStyle w:val="TA1"/>
              <w:jc w:val="right"/>
              <w:rPr>
                <w:rFonts w:eastAsiaTheme="minorEastAsia"/>
              </w:rPr>
            </w:pPr>
            <w:r>
              <w:t>13 222,5</w:t>
            </w:r>
          </w:p>
          <w:p w14:paraId="5013EEFA" w14:textId="77777777" w:rsidR="005D07A6" w:rsidRDefault="00F42774">
            <w:pPr>
              <w:pStyle w:val="TA1"/>
              <w:jc w:val="right"/>
              <w:rPr>
                <w:rFonts w:eastAsiaTheme="minorEastAsia"/>
              </w:rPr>
            </w:pPr>
            <w:r>
              <w:t>7 837,5</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7C3D80B" w14:textId="77777777" w:rsidR="005D07A6" w:rsidRDefault="00F42774">
            <w:pPr>
              <w:pStyle w:val="TA1"/>
              <w:jc w:val="right"/>
              <w:rPr>
                <w:rFonts w:eastAsiaTheme="minorEastAsia"/>
              </w:rPr>
            </w:pPr>
            <w:r>
              <w:t>1 702</w:t>
            </w:r>
          </w:p>
          <w:p w14:paraId="1F43F511" w14:textId="77777777" w:rsidR="005D07A6" w:rsidRDefault="00F42774">
            <w:pPr>
              <w:pStyle w:val="TA1"/>
              <w:jc w:val="right"/>
              <w:rPr>
                <w:rFonts w:eastAsiaTheme="minorEastAsia"/>
              </w:rPr>
            </w:pPr>
            <w:r>
              <w:t>–</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D1D4334" w14:textId="77777777" w:rsidR="005D07A6" w:rsidRDefault="005D07A6"/>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6A7D3F2" w14:textId="77777777" w:rsidR="005D07A6" w:rsidRDefault="00F42774">
            <w:pPr>
              <w:pStyle w:val="TA1"/>
              <w:jc w:val="right"/>
              <w:rPr>
                <w:rFonts w:eastAsiaTheme="minorEastAsia"/>
              </w:rPr>
            </w:pPr>
            <w:r>
              <w:t>8 169,6</w:t>
            </w:r>
          </w:p>
          <w:p w14:paraId="5F7AAB47" w14:textId="77777777" w:rsidR="005D07A6" w:rsidRDefault="00F42774">
            <w:pPr>
              <w:pStyle w:val="TA1"/>
              <w:jc w:val="right"/>
              <w:rPr>
                <w:rFonts w:eastAsiaTheme="minorEastAsia"/>
              </w:rPr>
            </w:pPr>
            <w:r>
              <w:t>–</w:t>
            </w:r>
          </w:p>
        </w:tc>
      </w:tr>
      <w:tr w:rsidR="005D07A6" w14:paraId="736F7405" w14:textId="77777777">
        <w:tc>
          <w:tcPr>
            <w:tcW w:w="10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BF5E296" w14:textId="77777777" w:rsidR="005D07A6" w:rsidRDefault="00F42774">
            <w:pPr>
              <w:pStyle w:val="TA1"/>
              <w:rPr>
                <w:rFonts w:eastAsiaTheme="minorEastAsia"/>
              </w:rPr>
            </w:pPr>
            <w:r>
              <w:rPr>
                <w:b/>
                <w:bCs/>
              </w:rPr>
              <w:t>Total</w:t>
            </w:r>
          </w:p>
          <w:p w14:paraId="7302566D" w14:textId="77777777" w:rsidR="005D07A6" w:rsidRDefault="00F42774">
            <w:pPr>
              <w:pStyle w:val="TA1"/>
              <w:rPr>
                <w:rFonts w:eastAsiaTheme="minorEastAsia"/>
              </w:rPr>
            </w:pPr>
            <w:r>
              <w:rPr>
                <w:b/>
                <w:bCs/>
              </w:rPr>
              <w:t>Sorties</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BBA9B76" w14:textId="77777777" w:rsidR="005D07A6" w:rsidRDefault="00F42774">
            <w:pPr>
              <w:pStyle w:val="TA1"/>
              <w:jc w:val="right"/>
              <w:rPr>
                <w:rFonts w:eastAsiaTheme="minorEastAsia"/>
              </w:rPr>
            </w:pPr>
            <w:r>
              <w:t>950</w:t>
            </w:r>
          </w:p>
          <w:p w14:paraId="00EADC0E" w14:textId="77777777" w:rsidR="005D07A6" w:rsidRDefault="00F42774">
            <w:pPr>
              <w:pStyle w:val="TA1"/>
              <w:jc w:val="right"/>
              <w:rPr>
                <w:rFonts w:eastAsiaTheme="minorEastAsia"/>
              </w:rPr>
            </w:pPr>
            <w:r>
              <w:t>840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D08C4ED" w14:textId="77777777" w:rsidR="005D07A6" w:rsidRDefault="00F42774">
            <w:pPr>
              <w:pStyle w:val="TA1"/>
              <w:jc w:val="right"/>
              <w:rPr>
                <w:rFonts w:eastAsiaTheme="minorEastAsia"/>
              </w:rPr>
            </w:pPr>
            <w:r>
              <w:t>8,2</w:t>
            </w:r>
          </w:p>
          <w:p w14:paraId="647788A5" w14:textId="77777777" w:rsidR="005D07A6" w:rsidRDefault="00F42774">
            <w:pPr>
              <w:pStyle w:val="TA1"/>
              <w:jc w:val="right"/>
              <w:rPr>
                <w:rFonts w:eastAsiaTheme="minorEastAsia"/>
              </w:rPr>
            </w:pPr>
            <w:r>
              <w:t>8,2</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8C2115C" w14:textId="77777777" w:rsidR="005D07A6" w:rsidRDefault="00F42774">
            <w:pPr>
              <w:pStyle w:val="TA1"/>
              <w:jc w:val="right"/>
              <w:rPr>
                <w:rFonts w:eastAsiaTheme="minorEastAsia"/>
              </w:rPr>
            </w:pPr>
            <w:r>
              <w:t>7 790</w:t>
            </w:r>
          </w:p>
          <w:p w14:paraId="2820D416" w14:textId="77777777" w:rsidR="005D07A6" w:rsidRDefault="00F42774">
            <w:pPr>
              <w:pStyle w:val="TA1"/>
              <w:jc w:val="right"/>
              <w:rPr>
                <w:rFonts w:eastAsiaTheme="minorEastAsia"/>
              </w:rPr>
            </w:pPr>
            <w:r>
              <w:t>6 888</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E75056B" w14:textId="77777777" w:rsidR="005D07A6" w:rsidRDefault="00F42774">
            <w:pPr>
              <w:pStyle w:val="TA1"/>
              <w:jc w:val="right"/>
              <w:rPr>
                <w:rFonts w:eastAsiaTheme="minorEastAsia"/>
              </w:rPr>
            </w:pPr>
            <w:r>
              <w:t>1 800</w:t>
            </w:r>
          </w:p>
          <w:p w14:paraId="3A5DA0E7" w14:textId="77777777" w:rsidR="005D07A6" w:rsidRDefault="00F42774">
            <w:pPr>
              <w:pStyle w:val="TA1"/>
              <w:jc w:val="right"/>
              <w:rPr>
                <w:rFonts w:eastAsiaTheme="minorEastAsia"/>
              </w:rPr>
            </w:pPr>
            <w:r>
              <w:t>1 352</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4F29F40" w14:textId="77777777" w:rsidR="005D07A6" w:rsidRDefault="00F42774">
            <w:pPr>
              <w:pStyle w:val="TA1"/>
              <w:jc w:val="right"/>
              <w:rPr>
                <w:rFonts w:eastAsiaTheme="minorEastAsia"/>
              </w:rPr>
            </w:pPr>
            <w:r>
              <w:t>11,7</w:t>
            </w:r>
          </w:p>
          <w:p w14:paraId="5AD43237" w14:textId="77777777" w:rsidR="005D07A6" w:rsidRDefault="00F42774">
            <w:pPr>
              <w:pStyle w:val="TA1"/>
              <w:jc w:val="right"/>
              <w:rPr>
                <w:rFonts w:eastAsiaTheme="minorEastAsia"/>
              </w:rPr>
            </w:pPr>
            <w:r>
              <w:t>11,7</w:t>
            </w:r>
          </w:p>
        </w:tc>
        <w:tc>
          <w:tcPr>
            <w:tcW w:w="5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9974B43" w14:textId="77777777" w:rsidR="005D07A6" w:rsidRDefault="00F42774">
            <w:pPr>
              <w:pStyle w:val="TA1"/>
              <w:jc w:val="right"/>
              <w:rPr>
                <w:rFonts w:eastAsiaTheme="minorEastAsia"/>
              </w:rPr>
            </w:pPr>
            <w:r>
              <w:t>21 060,0</w:t>
            </w:r>
          </w:p>
          <w:p w14:paraId="5C2F16AA" w14:textId="77777777" w:rsidR="005D07A6" w:rsidRDefault="00F42774">
            <w:pPr>
              <w:pStyle w:val="TA1"/>
              <w:jc w:val="right"/>
              <w:rPr>
                <w:rFonts w:eastAsiaTheme="minorEastAsia"/>
              </w:rPr>
            </w:pPr>
            <w:r>
              <w:t>15 818,4</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58562FC" w14:textId="77777777" w:rsidR="005D07A6" w:rsidRDefault="00F42774">
            <w:pPr>
              <w:pStyle w:val="TA1"/>
              <w:jc w:val="right"/>
              <w:rPr>
                <w:rFonts w:eastAsiaTheme="minorEastAsia"/>
              </w:rPr>
            </w:pPr>
            <w:r>
              <w:t>1 702</w:t>
            </w:r>
          </w:p>
          <w:p w14:paraId="39330E40" w14:textId="77777777" w:rsidR="005D07A6" w:rsidRDefault="00F42774">
            <w:pPr>
              <w:pStyle w:val="TA1"/>
              <w:jc w:val="right"/>
              <w:rPr>
                <w:rFonts w:eastAsiaTheme="minorEastAsia"/>
              </w:rPr>
            </w:pPr>
            <w:r>
              <w:t>1 450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6B689A2" w14:textId="77777777" w:rsidR="005D07A6" w:rsidRDefault="00F42774">
            <w:pPr>
              <w:pStyle w:val="TA1"/>
              <w:jc w:val="right"/>
              <w:rPr>
                <w:rFonts w:eastAsiaTheme="minorEastAsia"/>
              </w:rPr>
            </w:pPr>
            <w:r>
              <w:t>4,8</w:t>
            </w:r>
          </w:p>
          <w:p w14:paraId="53CB0AA1" w14:textId="77777777" w:rsidR="005D07A6" w:rsidRDefault="00F42774">
            <w:pPr>
              <w:pStyle w:val="TA1"/>
              <w:jc w:val="right"/>
              <w:rPr>
                <w:rFonts w:eastAsiaTheme="minorEastAsia"/>
              </w:rPr>
            </w:pPr>
            <w:r>
              <w:t>4,8</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F63A937" w14:textId="77777777" w:rsidR="005D07A6" w:rsidRDefault="00F42774">
            <w:pPr>
              <w:pStyle w:val="TA1"/>
              <w:jc w:val="right"/>
              <w:rPr>
                <w:rFonts w:eastAsiaTheme="minorEastAsia"/>
              </w:rPr>
            </w:pPr>
            <w:r>
              <w:t>8 169,6</w:t>
            </w:r>
          </w:p>
          <w:p w14:paraId="1D5F7DF2" w14:textId="77777777" w:rsidR="005D07A6" w:rsidRDefault="00F42774">
            <w:pPr>
              <w:pStyle w:val="TA1"/>
              <w:jc w:val="right"/>
              <w:rPr>
                <w:rFonts w:eastAsiaTheme="minorEastAsia"/>
              </w:rPr>
            </w:pPr>
            <w:r>
              <w:t>6 960,0</w:t>
            </w:r>
          </w:p>
        </w:tc>
      </w:tr>
      <w:tr w:rsidR="005D07A6" w14:paraId="19FF348D" w14:textId="77777777">
        <w:tc>
          <w:tcPr>
            <w:tcW w:w="10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5C2CC1F" w14:textId="77777777" w:rsidR="005D07A6" w:rsidRDefault="00F42774">
            <w:pPr>
              <w:pStyle w:val="TA1"/>
              <w:rPr>
                <w:rFonts w:eastAsiaTheme="minorEastAsia"/>
              </w:rPr>
            </w:pPr>
            <w:r>
              <w:rPr>
                <w:b/>
                <w:bCs/>
              </w:rPr>
              <w:t>SF théorique</w:t>
            </w:r>
          </w:p>
          <w:p w14:paraId="6D1D6EBE" w14:textId="77777777" w:rsidR="005D07A6" w:rsidRDefault="00F42774">
            <w:pPr>
              <w:pStyle w:val="TA1"/>
              <w:rPr>
                <w:rFonts w:eastAsiaTheme="minorEastAsia"/>
              </w:rPr>
            </w:pPr>
            <w:r>
              <w:rPr>
                <w:b/>
                <w:bCs/>
              </w:rPr>
              <w:t>Dif. d’inventaire</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D2E52AE" w14:textId="77777777" w:rsidR="005D07A6" w:rsidRDefault="00F42774">
            <w:pPr>
              <w:pStyle w:val="TA1"/>
              <w:jc w:val="right"/>
              <w:rPr>
                <w:rFonts w:eastAsiaTheme="minorEastAsia"/>
              </w:rPr>
            </w:pPr>
            <w:r>
              <w:t>110</w:t>
            </w:r>
          </w:p>
          <w:p w14:paraId="1526A72B" w14:textId="77777777" w:rsidR="005D07A6" w:rsidRDefault="00F42774">
            <w:pPr>
              <w:pStyle w:val="TA1"/>
              <w:jc w:val="right"/>
              <w:rPr>
                <w:rFonts w:eastAsiaTheme="minorEastAsia"/>
              </w:rPr>
            </w:pPr>
            <w:r>
              <w:t>– 5</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6E7DAD1" w14:textId="77777777" w:rsidR="005D07A6" w:rsidRDefault="00F42774">
            <w:pPr>
              <w:pStyle w:val="TA1"/>
              <w:jc w:val="right"/>
              <w:rPr>
                <w:rFonts w:eastAsiaTheme="minorEastAsia"/>
              </w:rPr>
            </w:pPr>
            <w:r>
              <w:t>8,2</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7C22E44" w14:textId="77777777" w:rsidR="005D07A6" w:rsidRDefault="00F42774">
            <w:pPr>
              <w:pStyle w:val="TA1"/>
              <w:jc w:val="right"/>
              <w:rPr>
                <w:rFonts w:eastAsiaTheme="minorEastAsia"/>
              </w:rPr>
            </w:pPr>
            <w:r>
              <w:t>902</w:t>
            </w:r>
          </w:p>
          <w:p w14:paraId="3F758BDE" w14:textId="77777777" w:rsidR="005D07A6" w:rsidRDefault="00F42774">
            <w:pPr>
              <w:pStyle w:val="TA1"/>
              <w:jc w:val="right"/>
              <w:rPr>
                <w:rFonts w:eastAsiaTheme="minorEastAsia"/>
              </w:rPr>
            </w:pPr>
            <w:r>
              <w:t>– 41</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B83A116" w14:textId="77777777" w:rsidR="005D07A6" w:rsidRDefault="00F42774">
            <w:pPr>
              <w:pStyle w:val="TA1"/>
              <w:jc w:val="right"/>
              <w:rPr>
                <w:rFonts w:eastAsiaTheme="minorEastAsia"/>
              </w:rPr>
            </w:pPr>
            <w:r>
              <w:t>448</w:t>
            </w:r>
          </w:p>
          <w:p w14:paraId="23C78FE0" w14:textId="77777777" w:rsidR="005D07A6" w:rsidRDefault="00F42774">
            <w:pPr>
              <w:pStyle w:val="TA1"/>
              <w:jc w:val="right"/>
              <w:rPr>
                <w:rFonts w:eastAsiaTheme="minorEastAsia"/>
              </w:rPr>
            </w:pPr>
            <w:r>
              <w:t>–</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9E757C5" w14:textId="77777777" w:rsidR="005D07A6" w:rsidRDefault="005D07A6"/>
        </w:tc>
        <w:tc>
          <w:tcPr>
            <w:tcW w:w="5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B1F00C5" w14:textId="77777777" w:rsidR="005D07A6" w:rsidRDefault="00F42774">
            <w:pPr>
              <w:pStyle w:val="TA1"/>
              <w:jc w:val="right"/>
              <w:rPr>
                <w:rFonts w:eastAsiaTheme="minorEastAsia"/>
              </w:rPr>
            </w:pPr>
            <w:r>
              <w:t>5 241,6</w:t>
            </w:r>
          </w:p>
          <w:p w14:paraId="6F6D8E75" w14:textId="77777777" w:rsidR="005D07A6" w:rsidRDefault="00F42774">
            <w:pPr>
              <w:pStyle w:val="TA1"/>
              <w:jc w:val="right"/>
              <w:rPr>
                <w:rFonts w:eastAsiaTheme="minorEastAsia"/>
              </w:rPr>
            </w:pPr>
            <w:r>
              <w:t>–</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8FF194F" w14:textId="77777777" w:rsidR="005D07A6" w:rsidRDefault="00F42774">
            <w:pPr>
              <w:pStyle w:val="TA1"/>
              <w:jc w:val="right"/>
              <w:rPr>
                <w:rFonts w:eastAsiaTheme="minorEastAsia"/>
              </w:rPr>
            </w:pPr>
            <w:r>
              <w:t>252</w:t>
            </w:r>
          </w:p>
          <w:p w14:paraId="4D7AE0D0" w14:textId="77777777" w:rsidR="005D07A6" w:rsidRDefault="00F42774">
            <w:pPr>
              <w:pStyle w:val="TA1"/>
              <w:jc w:val="right"/>
              <w:rPr>
                <w:rFonts w:eastAsiaTheme="minorEastAsia"/>
              </w:rPr>
            </w:pPr>
            <w:r>
              <w:t>–</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E0F61BA" w14:textId="77777777" w:rsidR="005D07A6" w:rsidRDefault="005D07A6"/>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F25186E" w14:textId="77777777" w:rsidR="005D07A6" w:rsidRDefault="00F42774">
            <w:pPr>
              <w:pStyle w:val="TA1"/>
              <w:jc w:val="right"/>
              <w:rPr>
                <w:rFonts w:eastAsiaTheme="minorEastAsia"/>
              </w:rPr>
            </w:pPr>
            <w:r>
              <w:t>1 209,6</w:t>
            </w:r>
          </w:p>
          <w:p w14:paraId="3D26F12E" w14:textId="77777777" w:rsidR="005D07A6" w:rsidRDefault="00F42774">
            <w:pPr>
              <w:pStyle w:val="TA1"/>
              <w:jc w:val="right"/>
              <w:rPr>
                <w:rFonts w:eastAsiaTheme="minorEastAsia"/>
              </w:rPr>
            </w:pPr>
            <w:r>
              <w:t>–</w:t>
            </w:r>
          </w:p>
        </w:tc>
      </w:tr>
      <w:tr w:rsidR="005D07A6" w14:paraId="4851ECEC" w14:textId="77777777">
        <w:tc>
          <w:tcPr>
            <w:tcW w:w="10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E8FB998" w14:textId="77777777" w:rsidR="005D07A6" w:rsidRDefault="00F42774">
            <w:pPr>
              <w:pStyle w:val="TA1"/>
              <w:rPr>
                <w:rFonts w:eastAsiaTheme="minorEastAsia"/>
              </w:rPr>
            </w:pPr>
            <w:r>
              <w:rPr>
                <w:b/>
                <w:bCs/>
              </w:rPr>
              <w:t>SF réel</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ACFFB26" w14:textId="77777777" w:rsidR="005D07A6" w:rsidRDefault="00F42774">
            <w:pPr>
              <w:pStyle w:val="TA1"/>
              <w:jc w:val="right"/>
              <w:rPr>
                <w:rFonts w:eastAsiaTheme="minorEastAsia"/>
              </w:rPr>
            </w:pPr>
            <w:r>
              <w:t>105</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7E2AF41" w14:textId="77777777" w:rsidR="005D07A6" w:rsidRDefault="005D07A6"/>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E6A3146" w14:textId="77777777" w:rsidR="005D07A6" w:rsidRDefault="00F42774">
            <w:pPr>
              <w:pStyle w:val="TA1"/>
              <w:jc w:val="right"/>
              <w:rPr>
                <w:rFonts w:eastAsiaTheme="minorEastAsia"/>
              </w:rPr>
            </w:pPr>
            <w:r>
              <w:t>861</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AF10A0C" w14:textId="77777777" w:rsidR="005D07A6" w:rsidRDefault="00F42774">
            <w:pPr>
              <w:pStyle w:val="TA1"/>
              <w:jc w:val="right"/>
              <w:rPr>
                <w:rFonts w:eastAsiaTheme="minorEastAsia"/>
              </w:rPr>
            </w:pPr>
            <w:r>
              <w:t>448</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C1B2A01" w14:textId="77777777" w:rsidR="005D07A6" w:rsidRDefault="005D07A6"/>
        </w:tc>
        <w:tc>
          <w:tcPr>
            <w:tcW w:w="55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9273252" w14:textId="77777777" w:rsidR="005D07A6" w:rsidRDefault="00F42774">
            <w:pPr>
              <w:pStyle w:val="TA1"/>
              <w:jc w:val="right"/>
              <w:rPr>
                <w:rFonts w:eastAsiaTheme="minorEastAsia"/>
              </w:rPr>
            </w:pPr>
            <w:r>
              <w:t>5 241,6</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FC231FA" w14:textId="77777777" w:rsidR="005D07A6" w:rsidRDefault="00F42774">
            <w:pPr>
              <w:pStyle w:val="TA1"/>
              <w:jc w:val="right"/>
              <w:rPr>
                <w:rFonts w:eastAsiaTheme="minorEastAsia"/>
              </w:rPr>
            </w:pPr>
            <w:r>
              <w:t>252</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8043AE2" w14:textId="77777777" w:rsidR="005D07A6" w:rsidRDefault="005D07A6"/>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553BBA2" w14:textId="77777777" w:rsidR="005D07A6" w:rsidRDefault="00F42774">
            <w:pPr>
              <w:pStyle w:val="TA1"/>
              <w:jc w:val="right"/>
              <w:rPr>
                <w:rFonts w:eastAsiaTheme="minorEastAsia"/>
              </w:rPr>
            </w:pPr>
            <w:r>
              <w:t>1 209,6</w:t>
            </w:r>
          </w:p>
        </w:tc>
      </w:tr>
    </w:tbl>
    <w:p w14:paraId="09FB06FC" w14:textId="77777777" w:rsidR="005D07A6" w:rsidRDefault="005D07A6">
      <w:pPr>
        <w:pStyle w:val="CTEspDessous"/>
        <w:rPr>
          <w:rFonts w:eastAsiaTheme="minorEastAsia"/>
        </w:rPr>
      </w:pPr>
    </w:p>
    <w:tbl>
      <w:tblPr>
        <w:tblW w:w="7541" w:type="dxa"/>
        <w:tblInd w:w="1701" w:type="dxa"/>
        <w:tblLook w:val="04A0" w:firstRow="1" w:lastRow="0" w:firstColumn="1" w:lastColumn="0" w:noHBand="0" w:noVBand="1"/>
      </w:tblPr>
      <w:tblGrid>
        <w:gridCol w:w="1361"/>
        <w:gridCol w:w="1380"/>
        <w:gridCol w:w="1380"/>
        <w:gridCol w:w="1380"/>
        <w:gridCol w:w="2040"/>
      </w:tblGrid>
      <w:tr w:rsidR="005D07A6" w14:paraId="76CF3347" w14:textId="77777777">
        <w:tc>
          <w:tcPr>
            <w:tcW w:w="1020" w:type="dxa"/>
            <w:tcBorders>
              <w:top w:val="nil"/>
              <w:left w:val="nil"/>
              <w:bottom w:val="single" w:sz="4" w:space="0" w:color="auto"/>
              <w:right w:val="single" w:sz="4" w:space="0" w:color="auto"/>
            </w:tcBorders>
            <w:tcMar>
              <w:top w:w="0" w:type="dxa"/>
              <w:left w:w="2" w:type="dxa"/>
              <w:bottom w:w="0" w:type="dxa"/>
              <w:right w:w="2" w:type="dxa"/>
            </w:tcMar>
            <w:hideMark/>
          </w:tcPr>
          <w:p w14:paraId="7E479E93" w14:textId="77777777" w:rsidR="005D07A6" w:rsidRDefault="005D07A6"/>
        </w:tc>
        <w:tc>
          <w:tcPr>
            <w:tcW w:w="103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C9B73FA" w14:textId="77777777" w:rsidR="005D07A6" w:rsidRDefault="00F42774">
            <w:pPr>
              <w:pStyle w:val="TA1"/>
              <w:jc w:val="center"/>
              <w:rPr>
                <w:rFonts w:eastAsiaTheme="minorEastAsia"/>
              </w:rPr>
            </w:pPr>
            <w:r>
              <w:rPr>
                <w:b/>
                <w:bCs/>
              </w:rPr>
              <w:t>Cônes</w:t>
            </w:r>
          </w:p>
        </w:tc>
        <w:tc>
          <w:tcPr>
            <w:tcW w:w="153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2BCF9FE" w14:textId="77777777" w:rsidR="005D07A6" w:rsidRDefault="00F42774">
            <w:pPr>
              <w:pStyle w:val="TA1"/>
              <w:jc w:val="center"/>
              <w:rPr>
                <w:rFonts w:eastAsiaTheme="minorEastAsia"/>
              </w:rPr>
            </w:pPr>
            <w:r>
              <w:rPr>
                <w:b/>
                <w:bCs/>
              </w:rPr>
              <w:t>MC</w:t>
            </w:r>
          </w:p>
        </w:tc>
      </w:tr>
      <w:tr w:rsidR="005D07A6" w14:paraId="1BBC8430" w14:textId="77777777">
        <w:tc>
          <w:tcPr>
            <w:tcW w:w="10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5EF18DE" w14:textId="77777777" w:rsidR="005D07A6" w:rsidRDefault="00F42774">
            <w:pPr>
              <w:pStyle w:val="TA1"/>
              <w:rPr>
                <w:rFonts w:eastAsiaTheme="minorEastAsia"/>
              </w:rPr>
            </w:pPr>
            <w:r>
              <w:rPr>
                <w:b/>
                <w:bCs/>
              </w:rPr>
              <w:t>Stock initial</w:t>
            </w:r>
          </w:p>
          <w:p w14:paraId="4099A9AE" w14:textId="77777777" w:rsidR="005D07A6" w:rsidRDefault="00F42774">
            <w:pPr>
              <w:pStyle w:val="TA1"/>
              <w:rPr>
                <w:rFonts w:eastAsiaTheme="minorEastAsia"/>
              </w:rPr>
            </w:pPr>
            <w:r>
              <w:rPr>
                <w:b/>
                <w:bCs/>
              </w:rPr>
              <w:t>Entrées</w:t>
            </w:r>
          </w:p>
        </w:tc>
        <w:tc>
          <w:tcPr>
            <w:tcW w:w="10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20F586B" w14:textId="77777777" w:rsidR="005D07A6" w:rsidRDefault="00F42774">
            <w:pPr>
              <w:pStyle w:val="TA1"/>
              <w:jc w:val="right"/>
              <w:rPr>
                <w:rFonts w:eastAsiaTheme="minorEastAsia"/>
              </w:rPr>
            </w:pPr>
            <w:r>
              <w:t>1 500</w:t>
            </w:r>
          </w:p>
          <w:p w14:paraId="01BFE368" w14:textId="77777777" w:rsidR="005D07A6" w:rsidRDefault="00F42774">
            <w:pPr>
              <w:pStyle w:val="TA1"/>
              <w:jc w:val="right"/>
              <w:rPr>
                <w:rFonts w:eastAsiaTheme="minorEastAsia"/>
              </w:rPr>
            </w:pPr>
            <w:r>
              <w:t>–</w:t>
            </w:r>
          </w:p>
        </w:tc>
        <w:tc>
          <w:tcPr>
            <w:tcW w:w="10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983BACA" w14:textId="77777777" w:rsidR="005D07A6" w:rsidRDefault="005D07A6"/>
        </w:tc>
        <w:tc>
          <w:tcPr>
            <w:tcW w:w="10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DA19F18" w14:textId="77777777" w:rsidR="005D07A6" w:rsidRDefault="00F42774">
            <w:pPr>
              <w:pStyle w:val="TA1"/>
              <w:jc w:val="right"/>
              <w:rPr>
                <w:rFonts w:eastAsiaTheme="minorEastAsia"/>
              </w:rPr>
            </w:pPr>
            <w:r>
              <w:t>900,0</w:t>
            </w:r>
          </w:p>
          <w:p w14:paraId="0C611FAF" w14:textId="77777777" w:rsidR="005D07A6" w:rsidRDefault="00F42774">
            <w:pPr>
              <w:pStyle w:val="TA1"/>
              <w:jc w:val="right"/>
              <w:rPr>
                <w:rFonts w:eastAsiaTheme="minorEastAsia"/>
              </w:rPr>
            </w:pPr>
            <w:r>
              <w:t>–</w:t>
            </w:r>
          </w:p>
        </w:tc>
        <w:tc>
          <w:tcPr>
            <w:tcW w:w="15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5092663" w14:textId="77777777" w:rsidR="005D07A6" w:rsidRDefault="00F42774">
            <w:pPr>
              <w:pStyle w:val="TA1"/>
              <w:jc w:val="right"/>
              <w:rPr>
                <w:rFonts w:eastAsiaTheme="minorEastAsia"/>
              </w:rPr>
            </w:pPr>
            <w:r>
              <w:t>9 000</w:t>
            </w:r>
          </w:p>
          <w:p w14:paraId="4B126514" w14:textId="77777777" w:rsidR="005D07A6" w:rsidRDefault="00F42774">
            <w:pPr>
              <w:pStyle w:val="TA1"/>
              <w:jc w:val="right"/>
              <w:rPr>
                <w:rFonts w:eastAsiaTheme="minorEastAsia"/>
              </w:rPr>
            </w:pPr>
            <w:r>
              <w:t>–</w:t>
            </w:r>
          </w:p>
        </w:tc>
      </w:tr>
      <w:tr w:rsidR="005D07A6" w14:paraId="20258519" w14:textId="77777777">
        <w:tc>
          <w:tcPr>
            <w:tcW w:w="10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A27E9B3" w14:textId="77777777" w:rsidR="005D07A6" w:rsidRDefault="00F42774">
            <w:pPr>
              <w:pStyle w:val="TA1"/>
              <w:rPr>
                <w:rFonts w:eastAsiaTheme="minorEastAsia"/>
              </w:rPr>
            </w:pPr>
            <w:r>
              <w:rPr>
                <w:b/>
                <w:bCs/>
              </w:rPr>
              <w:t>Total</w:t>
            </w:r>
          </w:p>
          <w:p w14:paraId="583D3DB6" w14:textId="77777777" w:rsidR="005D07A6" w:rsidRDefault="00F42774">
            <w:pPr>
              <w:pStyle w:val="TA1"/>
              <w:rPr>
                <w:rFonts w:eastAsiaTheme="minorEastAsia"/>
              </w:rPr>
            </w:pPr>
            <w:r>
              <w:rPr>
                <w:b/>
                <w:bCs/>
              </w:rPr>
              <w:t>Sorties</w:t>
            </w:r>
          </w:p>
        </w:tc>
        <w:tc>
          <w:tcPr>
            <w:tcW w:w="10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075461C" w14:textId="77777777" w:rsidR="005D07A6" w:rsidRDefault="00F42774">
            <w:pPr>
              <w:pStyle w:val="TA1"/>
              <w:jc w:val="right"/>
              <w:rPr>
                <w:rFonts w:eastAsiaTheme="minorEastAsia"/>
              </w:rPr>
            </w:pPr>
            <w:r>
              <w:t>1 500</w:t>
            </w:r>
          </w:p>
          <w:p w14:paraId="6E0F7596" w14:textId="77777777" w:rsidR="005D07A6" w:rsidRDefault="00F42774">
            <w:pPr>
              <w:pStyle w:val="TA1"/>
              <w:jc w:val="right"/>
              <w:rPr>
                <w:rFonts w:eastAsiaTheme="minorEastAsia"/>
              </w:rPr>
            </w:pPr>
            <w:r>
              <w:t>1 450</w:t>
            </w:r>
          </w:p>
        </w:tc>
        <w:tc>
          <w:tcPr>
            <w:tcW w:w="10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21EFE64" w14:textId="77777777" w:rsidR="005D07A6" w:rsidRDefault="00F42774">
            <w:pPr>
              <w:pStyle w:val="TA1"/>
              <w:jc w:val="right"/>
              <w:rPr>
                <w:rFonts w:eastAsiaTheme="minorEastAsia"/>
              </w:rPr>
            </w:pPr>
            <w:r>
              <w:t>0,6</w:t>
            </w:r>
          </w:p>
          <w:p w14:paraId="5A1228C1" w14:textId="77777777" w:rsidR="005D07A6" w:rsidRDefault="00F42774">
            <w:pPr>
              <w:pStyle w:val="TA1"/>
              <w:jc w:val="right"/>
              <w:rPr>
                <w:rFonts w:eastAsiaTheme="minorEastAsia"/>
              </w:rPr>
            </w:pPr>
            <w:r>
              <w:t>0,6</w:t>
            </w:r>
          </w:p>
        </w:tc>
        <w:tc>
          <w:tcPr>
            <w:tcW w:w="10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5B25992" w14:textId="77777777" w:rsidR="005D07A6" w:rsidRDefault="00F42774">
            <w:pPr>
              <w:pStyle w:val="TA1"/>
              <w:jc w:val="right"/>
              <w:rPr>
                <w:rFonts w:eastAsiaTheme="minorEastAsia"/>
              </w:rPr>
            </w:pPr>
            <w:r>
              <w:t>900,0</w:t>
            </w:r>
          </w:p>
          <w:p w14:paraId="2622E745" w14:textId="77777777" w:rsidR="005D07A6" w:rsidRDefault="00F42774">
            <w:pPr>
              <w:pStyle w:val="TA1"/>
              <w:jc w:val="right"/>
              <w:rPr>
                <w:rFonts w:eastAsiaTheme="minorEastAsia"/>
              </w:rPr>
            </w:pPr>
            <w:r>
              <w:t>870,0</w:t>
            </w:r>
          </w:p>
        </w:tc>
        <w:tc>
          <w:tcPr>
            <w:tcW w:w="15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40F0282" w14:textId="77777777" w:rsidR="005D07A6" w:rsidRDefault="00F42774">
            <w:pPr>
              <w:pStyle w:val="TA1"/>
              <w:jc w:val="right"/>
              <w:rPr>
                <w:rFonts w:eastAsiaTheme="minorEastAsia"/>
              </w:rPr>
            </w:pPr>
            <w:r>
              <w:t>9 000</w:t>
            </w:r>
          </w:p>
          <w:p w14:paraId="6EDFF0CB" w14:textId="77777777" w:rsidR="005D07A6" w:rsidRDefault="00F42774">
            <w:pPr>
              <w:pStyle w:val="TA1"/>
              <w:jc w:val="right"/>
              <w:rPr>
                <w:rFonts w:eastAsiaTheme="minorEastAsia"/>
              </w:rPr>
            </w:pPr>
            <w:r>
              <w:t>8 000</w:t>
            </w:r>
          </w:p>
        </w:tc>
      </w:tr>
      <w:tr w:rsidR="005D07A6" w14:paraId="0E30E27A" w14:textId="77777777">
        <w:tc>
          <w:tcPr>
            <w:tcW w:w="10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A6FD28B" w14:textId="77777777" w:rsidR="005D07A6" w:rsidRDefault="00F42774">
            <w:pPr>
              <w:pStyle w:val="TA1"/>
              <w:rPr>
                <w:rFonts w:eastAsiaTheme="minorEastAsia"/>
              </w:rPr>
            </w:pPr>
            <w:r>
              <w:rPr>
                <w:b/>
                <w:bCs/>
              </w:rPr>
              <w:t>SF théorique</w:t>
            </w:r>
          </w:p>
          <w:p w14:paraId="0EECFCC2" w14:textId="77777777" w:rsidR="005D07A6" w:rsidRDefault="00F42774">
            <w:pPr>
              <w:pStyle w:val="TA1"/>
              <w:rPr>
                <w:rFonts w:eastAsiaTheme="minorEastAsia"/>
              </w:rPr>
            </w:pPr>
            <w:r>
              <w:rPr>
                <w:b/>
                <w:bCs/>
              </w:rPr>
              <w:t>Dif. d’inventaire</w:t>
            </w:r>
          </w:p>
        </w:tc>
        <w:tc>
          <w:tcPr>
            <w:tcW w:w="10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4A96549" w14:textId="77777777" w:rsidR="005D07A6" w:rsidRDefault="00F42774">
            <w:pPr>
              <w:pStyle w:val="TA1"/>
              <w:jc w:val="right"/>
              <w:rPr>
                <w:rFonts w:eastAsiaTheme="minorEastAsia"/>
              </w:rPr>
            </w:pPr>
            <w:r>
              <w:t>50</w:t>
            </w:r>
          </w:p>
          <w:p w14:paraId="619F6DF2" w14:textId="77777777" w:rsidR="005D07A6" w:rsidRDefault="00F42774">
            <w:pPr>
              <w:pStyle w:val="TA1"/>
              <w:jc w:val="right"/>
              <w:rPr>
                <w:rFonts w:eastAsiaTheme="minorEastAsia"/>
              </w:rPr>
            </w:pPr>
            <w:r>
              <w:t>– 2</w:t>
            </w:r>
          </w:p>
        </w:tc>
        <w:tc>
          <w:tcPr>
            <w:tcW w:w="10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C49C13E" w14:textId="77777777" w:rsidR="005D07A6" w:rsidRDefault="00F42774">
            <w:pPr>
              <w:pStyle w:val="TA1"/>
              <w:jc w:val="right"/>
              <w:rPr>
                <w:rFonts w:eastAsiaTheme="minorEastAsia"/>
              </w:rPr>
            </w:pPr>
            <w:r>
              <w:t>0,6</w:t>
            </w:r>
          </w:p>
        </w:tc>
        <w:tc>
          <w:tcPr>
            <w:tcW w:w="10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48749AD" w14:textId="77777777" w:rsidR="005D07A6" w:rsidRDefault="00F42774">
            <w:pPr>
              <w:pStyle w:val="TA1"/>
              <w:jc w:val="right"/>
              <w:rPr>
                <w:rFonts w:eastAsiaTheme="minorEastAsia"/>
              </w:rPr>
            </w:pPr>
            <w:r>
              <w:t>30,0</w:t>
            </w:r>
          </w:p>
          <w:p w14:paraId="0522701B" w14:textId="77777777" w:rsidR="005D07A6" w:rsidRDefault="00F42774">
            <w:pPr>
              <w:pStyle w:val="TA1"/>
              <w:jc w:val="right"/>
              <w:rPr>
                <w:rFonts w:eastAsiaTheme="minorEastAsia"/>
              </w:rPr>
            </w:pPr>
            <w:r>
              <w:t>– 1,2</w:t>
            </w:r>
          </w:p>
        </w:tc>
        <w:tc>
          <w:tcPr>
            <w:tcW w:w="15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53371D6" w14:textId="77777777" w:rsidR="005D07A6" w:rsidRDefault="00F42774">
            <w:pPr>
              <w:pStyle w:val="TA1"/>
              <w:jc w:val="right"/>
              <w:rPr>
                <w:rFonts w:eastAsiaTheme="minorEastAsia"/>
              </w:rPr>
            </w:pPr>
            <w:r>
              <w:t>1 000</w:t>
            </w:r>
          </w:p>
          <w:p w14:paraId="71A2D0CB" w14:textId="77777777" w:rsidR="005D07A6" w:rsidRDefault="00F42774">
            <w:pPr>
              <w:pStyle w:val="TA1"/>
              <w:jc w:val="right"/>
              <w:rPr>
                <w:rFonts w:eastAsiaTheme="minorEastAsia"/>
              </w:rPr>
            </w:pPr>
            <w:r>
              <w:t>–</w:t>
            </w:r>
          </w:p>
        </w:tc>
      </w:tr>
      <w:tr w:rsidR="005D07A6" w14:paraId="3567215E" w14:textId="77777777">
        <w:tc>
          <w:tcPr>
            <w:tcW w:w="10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46D1700" w14:textId="77777777" w:rsidR="005D07A6" w:rsidRDefault="00F42774">
            <w:pPr>
              <w:pStyle w:val="TA1"/>
              <w:rPr>
                <w:rFonts w:eastAsiaTheme="minorEastAsia"/>
              </w:rPr>
            </w:pPr>
            <w:r>
              <w:rPr>
                <w:b/>
                <w:bCs/>
              </w:rPr>
              <w:t>SF réel</w:t>
            </w:r>
          </w:p>
        </w:tc>
        <w:tc>
          <w:tcPr>
            <w:tcW w:w="10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81802B6" w14:textId="77777777" w:rsidR="005D07A6" w:rsidRDefault="00F42774">
            <w:pPr>
              <w:pStyle w:val="TA1"/>
              <w:jc w:val="right"/>
              <w:rPr>
                <w:rFonts w:eastAsiaTheme="minorEastAsia"/>
              </w:rPr>
            </w:pPr>
            <w:r>
              <w:t>48</w:t>
            </w:r>
          </w:p>
        </w:tc>
        <w:tc>
          <w:tcPr>
            <w:tcW w:w="10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C2CE44B" w14:textId="77777777" w:rsidR="005D07A6" w:rsidRDefault="005D07A6"/>
        </w:tc>
        <w:tc>
          <w:tcPr>
            <w:tcW w:w="10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13F0BD4" w14:textId="77777777" w:rsidR="005D07A6" w:rsidRDefault="00F42774">
            <w:pPr>
              <w:pStyle w:val="TA1"/>
              <w:jc w:val="right"/>
              <w:rPr>
                <w:rFonts w:eastAsiaTheme="minorEastAsia"/>
              </w:rPr>
            </w:pPr>
            <w:r>
              <w:t>28,8</w:t>
            </w:r>
          </w:p>
        </w:tc>
        <w:tc>
          <w:tcPr>
            <w:tcW w:w="15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AB5A426" w14:textId="77777777" w:rsidR="005D07A6" w:rsidRDefault="00F42774">
            <w:pPr>
              <w:pStyle w:val="TA1"/>
              <w:jc w:val="right"/>
              <w:rPr>
                <w:rFonts w:eastAsiaTheme="minorEastAsia"/>
              </w:rPr>
            </w:pPr>
            <w:r>
              <w:t>1 000</w:t>
            </w:r>
          </w:p>
        </w:tc>
      </w:tr>
    </w:tbl>
    <w:p w14:paraId="5077EBA3" w14:textId="77777777" w:rsidR="005D07A6" w:rsidRDefault="00F42774">
      <w:pPr>
        <w:pStyle w:val="TNiv2"/>
        <w:rPr>
          <w:rFonts w:eastAsiaTheme="minorEastAsia"/>
        </w:rPr>
      </w:pPr>
      <w:r>
        <w:t>c) Coût des haut-parleurs aigus et graves préparés</w:t>
      </w:r>
    </w:p>
    <w:tbl>
      <w:tblPr>
        <w:tblW w:w="5579" w:type="dxa"/>
        <w:tblInd w:w="1701" w:type="dxa"/>
        <w:tblLook w:val="04A0" w:firstRow="1" w:lastRow="0" w:firstColumn="1" w:lastColumn="0" w:noHBand="0" w:noVBand="1"/>
      </w:tblPr>
      <w:tblGrid>
        <w:gridCol w:w="1921"/>
        <w:gridCol w:w="1026"/>
        <w:gridCol w:w="764"/>
        <w:gridCol w:w="1026"/>
        <w:gridCol w:w="842"/>
      </w:tblGrid>
      <w:tr w:rsidR="005D07A6" w14:paraId="71676F9B" w14:textId="77777777">
        <w:tc>
          <w:tcPr>
            <w:tcW w:w="160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397B9E9" w14:textId="77777777" w:rsidR="005D07A6" w:rsidRDefault="00F42774">
            <w:pPr>
              <w:pStyle w:val="TA1"/>
              <w:jc w:val="center"/>
              <w:rPr>
                <w:rFonts w:eastAsiaTheme="minorEastAsia"/>
              </w:rPr>
            </w:pPr>
            <w:r>
              <w:rPr>
                <w:b/>
                <w:bCs/>
              </w:rPr>
              <w:t>Éléments</w:t>
            </w:r>
          </w:p>
        </w:tc>
        <w:tc>
          <w:tcPr>
            <w:tcW w:w="645"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EC3F67D" w14:textId="77777777" w:rsidR="005D07A6" w:rsidRDefault="00F42774">
            <w:pPr>
              <w:pStyle w:val="TA1"/>
              <w:jc w:val="center"/>
              <w:rPr>
                <w:rFonts w:eastAsiaTheme="minorEastAsia"/>
              </w:rPr>
            </w:pPr>
            <w:r>
              <w:rPr>
                <w:b/>
                <w:bCs/>
              </w:rPr>
              <w:t>HP aigus</w:t>
            </w:r>
          </w:p>
        </w:tc>
        <w:tc>
          <w:tcPr>
            <w:tcW w:w="645"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ED3E0E5" w14:textId="77777777" w:rsidR="005D07A6" w:rsidRDefault="00F42774">
            <w:pPr>
              <w:pStyle w:val="TA1"/>
              <w:jc w:val="center"/>
              <w:rPr>
                <w:rFonts w:eastAsiaTheme="minorEastAsia"/>
              </w:rPr>
            </w:pPr>
            <w:r>
              <w:rPr>
                <w:b/>
                <w:bCs/>
              </w:rPr>
              <w:t>HP graves</w:t>
            </w:r>
          </w:p>
        </w:tc>
      </w:tr>
      <w:tr w:rsidR="005D07A6" w14:paraId="459C1CD6" w14:textId="77777777">
        <w:tc>
          <w:tcPr>
            <w:tcW w:w="16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83172EA" w14:textId="77777777" w:rsidR="005D07A6" w:rsidRDefault="00F42774">
            <w:pPr>
              <w:pStyle w:val="TA1"/>
              <w:rPr>
                <w:rFonts w:eastAsiaTheme="minorEastAsia"/>
              </w:rPr>
            </w:pPr>
            <w:r>
              <w:t>Achats</w:t>
            </w:r>
          </w:p>
          <w:p w14:paraId="0C123A2D" w14:textId="77777777" w:rsidR="005D07A6" w:rsidRDefault="00F42774">
            <w:pPr>
              <w:pStyle w:val="TA1"/>
            </w:pPr>
            <w:r>
              <w:t>Centre approvisionnements</w:t>
            </w:r>
          </w:p>
          <w:p w14:paraId="324E888C" w14:textId="77777777" w:rsidR="005D07A6" w:rsidRDefault="00F42774">
            <w:pPr>
              <w:pStyle w:val="TA1"/>
              <w:rPr>
                <w:rFonts w:eastAsiaTheme="minorEastAsia"/>
              </w:rPr>
            </w:pPr>
            <w:r>
              <w:t>Centre préparation</w:t>
            </w:r>
          </w:p>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9D91F2E" w14:textId="77777777" w:rsidR="005D07A6" w:rsidRDefault="00F42774">
            <w:pPr>
              <w:pStyle w:val="TA1"/>
              <w:jc w:val="right"/>
              <w:rPr>
                <w:rFonts w:eastAsiaTheme="minorEastAsia"/>
              </w:rPr>
            </w:pPr>
            <w:r>
              <w:t>25 × 48,38</w:t>
            </w:r>
          </w:p>
          <w:p w14:paraId="698DE3A7" w14:textId="77777777" w:rsidR="005D07A6" w:rsidRDefault="00F42774">
            <w:pPr>
              <w:pStyle w:val="TA1"/>
              <w:jc w:val="right"/>
              <w:rPr>
                <w:rFonts w:eastAsiaTheme="minorEastAsia"/>
              </w:rPr>
            </w:pPr>
            <w:r>
              <w:t>3 × 1 103</w:t>
            </w:r>
          </w:p>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3636380" w14:textId="77777777" w:rsidR="005D07A6" w:rsidRDefault="00F42774">
            <w:pPr>
              <w:pStyle w:val="TA1"/>
              <w:jc w:val="right"/>
              <w:rPr>
                <w:rFonts w:eastAsiaTheme="minorEastAsia"/>
              </w:rPr>
            </w:pPr>
            <w:r>
              <w:t>4 838,0</w:t>
            </w:r>
          </w:p>
          <w:p w14:paraId="16ECD336" w14:textId="77777777" w:rsidR="005D07A6" w:rsidRDefault="00F42774">
            <w:pPr>
              <w:pStyle w:val="TA1"/>
              <w:jc w:val="right"/>
            </w:pPr>
            <w:r>
              <w:t>1 209,5</w:t>
            </w:r>
          </w:p>
          <w:p w14:paraId="166F6A74" w14:textId="77777777" w:rsidR="005D07A6" w:rsidRDefault="00F42774">
            <w:pPr>
              <w:pStyle w:val="TA1"/>
              <w:jc w:val="right"/>
              <w:rPr>
                <w:rFonts w:eastAsiaTheme="minorEastAsia"/>
              </w:rPr>
            </w:pPr>
            <w:r>
              <w:t>3 309,0</w:t>
            </w:r>
          </w:p>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B53A195" w14:textId="77777777" w:rsidR="005D07A6" w:rsidRDefault="00F42774">
            <w:pPr>
              <w:pStyle w:val="TA1"/>
              <w:jc w:val="right"/>
              <w:rPr>
                <w:rFonts w:eastAsiaTheme="minorEastAsia"/>
              </w:rPr>
            </w:pPr>
            <w:r>
              <w:t>25 × 78,90</w:t>
            </w:r>
          </w:p>
          <w:p w14:paraId="626AA8DE" w14:textId="77777777" w:rsidR="005D07A6" w:rsidRDefault="00F42774">
            <w:pPr>
              <w:pStyle w:val="TA1"/>
              <w:jc w:val="right"/>
              <w:rPr>
                <w:rFonts w:eastAsiaTheme="minorEastAsia"/>
              </w:rPr>
            </w:pPr>
            <w:r>
              <w:t>3 × 700</w:t>
            </w:r>
          </w:p>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0DD4163" w14:textId="77777777" w:rsidR="005D07A6" w:rsidRDefault="00F42774">
            <w:pPr>
              <w:pStyle w:val="TA1"/>
              <w:jc w:val="right"/>
              <w:rPr>
                <w:rFonts w:eastAsiaTheme="minorEastAsia"/>
              </w:rPr>
            </w:pPr>
            <w:r>
              <w:t>7 890,0</w:t>
            </w:r>
          </w:p>
          <w:p w14:paraId="33224CA8" w14:textId="77777777" w:rsidR="005D07A6" w:rsidRDefault="00F42774">
            <w:pPr>
              <w:pStyle w:val="TA1"/>
              <w:jc w:val="right"/>
            </w:pPr>
            <w:r>
              <w:t>1 972,5</w:t>
            </w:r>
          </w:p>
          <w:p w14:paraId="45E38CC4" w14:textId="77777777" w:rsidR="005D07A6" w:rsidRDefault="00F42774">
            <w:pPr>
              <w:pStyle w:val="TA1"/>
              <w:jc w:val="right"/>
              <w:rPr>
                <w:rFonts w:eastAsiaTheme="minorEastAsia"/>
              </w:rPr>
            </w:pPr>
            <w:r>
              <w:t>2 100,0</w:t>
            </w:r>
          </w:p>
        </w:tc>
      </w:tr>
      <w:tr w:rsidR="005D07A6" w14:paraId="7C4F1661" w14:textId="77777777">
        <w:tc>
          <w:tcPr>
            <w:tcW w:w="16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10B0B39" w14:textId="77777777" w:rsidR="005D07A6" w:rsidRDefault="00F42774">
            <w:pPr>
              <w:pStyle w:val="TA1"/>
              <w:rPr>
                <w:rFonts w:eastAsiaTheme="minorEastAsia"/>
              </w:rPr>
            </w:pPr>
            <w:r>
              <w:t>Coût de production</w:t>
            </w:r>
          </w:p>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FBA3623" w14:textId="77777777" w:rsidR="005D07A6" w:rsidRDefault="005D07A6"/>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5BBD1E7" w14:textId="77777777" w:rsidR="005D07A6" w:rsidRDefault="00F42774">
            <w:pPr>
              <w:pStyle w:val="TA1"/>
              <w:jc w:val="right"/>
              <w:rPr>
                <w:rFonts w:eastAsiaTheme="minorEastAsia"/>
              </w:rPr>
            </w:pPr>
            <w:r>
              <w:t>9 356,5</w:t>
            </w:r>
          </w:p>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170680E" w14:textId="77777777" w:rsidR="005D07A6" w:rsidRDefault="005D07A6"/>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054B275" w14:textId="77777777" w:rsidR="005D07A6" w:rsidRDefault="00F42774">
            <w:pPr>
              <w:pStyle w:val="TA1"/>
              <w:jc w:val="right"/>
              <w:rPr>
                <w:rFonts w:eastAsiaTheme="minorEastAsia"/>
              </w:rPr>
            </w:pPr>
            <w:r>
              <w:t>11 962,5</w:t>
            </w:r>
          </w:p>
        </w:tc>
      </w:tr>
    </w:tbl>
    <w:p w14:paraId="011A8C64" w14:textId="77777777" w:rsidR="005D07A6" w:rsidRDefault="00F42774">
      <w:pPr>
        <w:pStyle w:val="TNiv2"/>
        <w:rPr>
          <w:rFonts w:eastAsiaTheme="minorEastAsia"/>
        </w:rPr>
      </w:pPr>
      <w:r>
        <w:t>d) Fiches de stock des HP aigus et graves</w:t>
      </w:r>
    </w:p>
    <w:tbl>
      <w:tblPr>
        <w:tblW w:w="5642" w:type="dxa"/>
        <w:tblInd w:w="1701" w:type="dxa"/>
        <w:tblLook w:val="04A0" w:firstRow="1" w:lastRow="0" w:firstColumn="1" w:lastColumn="0" w:noHBand="0" w:noVBand="1"/>
      </w:tblPr>
      <w:tblGrid>
        <w:gridCol w:w="1790"/>
        <w:gridCol w:w="639"/>
        <w:gridCol w:w="402"/>
        <w:gridCol w:w="866"/>
        <w:gridCol w:w="639"/>
        <w:gridCol w:w="440"/>
        <w:gridCol w:w="866"/>
      </w:tblGrid>
      <w:tr w:rsidR="005D07A6" w14:paraId="2C99DBAB" w14:textId="77777777">
        <w:tc>
          <w:tcPr>
            <w:tcW w:w="1470" w:type="dxa"/>
            <w:tcBorders>
              <w:top w:val="nil"/>
              <w:left w:val="nil"/>
              <w:bottom w:val="single" w:sz="4" w:space="0" w:color="auto"/>
              <w:right w:val="single" w:sz="4" w:space="0" w:color="auto"/>
            </w:tcBorders>
            <w:tcMar>
              <w:top w:w="0" w:type="dxa"/>
              <w:left w:w="2" w:type="dxa"/>
              <w:bottom w:w="0" w:type="dxa"/>
              <w:right w:w="2" w:type="dxa"/>
            </w:tcMar>
            <w:hideMark/>
          </w:tcPr>
          <w:p w14:paraId="72888342" w14:textId="77777777" w:rsidR="005D07A6" w:rsidRDefault="005D07A6"/>
        </w:tc>
        <w:tc>
          <w:tcPr>
            <w:tcW w:w="52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A207E40" w14:textId="77777777" w:rsidR="005D07A6" w:rsidRDefault="00F42774">
            <w:pPr>
              <w:pStyle w:val="TA1"/>
              <w:jc w:val="center"/>
              <w:rPr>
                <w:rFonts w:eastAsiaTheme="minorEastAsia"/>
              </w:rPr>
            </w:pPr>
            <w:r>
              <w:rPr>
                <w:b/>
                <w:bCs/>
              </w:rPr>
              <w:t>HP aigus</w:t>
            </w:r>
          </w:p>
        </w:tc>
        <w:tc>
          <w:tcPr>
            <w:tcW w:w="52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B984B9E" w14:textId="77777777" w:rsidR="005D07A6" w:rsidRDefault="00F42774">
            <w:pPr>
              <w:pStyle w:val="TA1"/>
              <w:jc w:val="center"/>
              <w:rPr>
                <w:rFonts w:eastAsiaTheme="minorEastAsia"/>
              </w:rPr>
            </w:pPr>
            <w:r>
              <w:rPr>
                <w:b/>
                <w:bCs/>
              </w:rPr>
              <w:t>HP graves</w:t>
            </w:r>
          </w:p>
        </w:tc>
      </w:tr>
      <w:tr w:rsidR="005D07A6" w14:paraId="734834EA" w14:textId="77777777">
        <w:tc>
          <w:tcPr>
            <w:tcW w:w="147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58CFED9" w14:textId="77777777" w:rsidR="005D07A6" w:rsidRDefault="00F42774">
            <w:pPr>
              <w:pStyle w:val="TA1"/>
              <w:rPr>
                <w:rFonts w:eastAsiaTheme="minorEastAsia"/>
              </w:rPr>
            </w:pPr>
            <w:r>
              <w:t>Stock initial</w:t>
            </w:r>
          </w:p>
          <w:p w14:paraId="2D198880" w14:textId="77777777" w:rsidR="005D07A6" w:rsidRDefault="00F42774">
            <w:pPr>
              <w:pStyle w:val="TA1"/>
              <w:rPr>
                <w:rFonts w:eastAsiaTheme="minorEastAsia"/>
              </w:rPr>
            </w:pPr>
            <w:r>
              <w:lastRenderedPageBreak/>
              <w:t>Entrées</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7965CC8" w14:textId="77777777" w:rsidR="005D07A6" w:rsidRDefault="00F42774">
            <w:pPr>
              <w:pStyle w:val="TA1"/>
              <w:jc w:val="right"/>
              <w:rPr>
                <w:rFonts w:eastAsiaTheme="minorEastAsia"/>
              </w:rPr>
            </w:pPr>
            <w:r>
              <w:lastRenderedPageBreak/>
              <w:t>1 230</w:t>
            </w:r>
          </w:p>
          <w:p w14:paraId="6E724D07" w14:textId="77777777" w:rsidR="005D07A6" w:rsidRDefault="00F42774">
            <w:pPr>
              <w:pStyle w:val="TA1"/>
              <w:jc w:val="right"/>
              <w:rPr>
                <w:rFonts w:eastAsiaTheme="minorEastAsia"/>
              </w:rPr>
            </w:pPr>
            <w:r>
              <w:lastRenderedPageBreak/>
              <w:t>1 103</w:t>
            </w:r>
          </w:p>
        </w:tc>
        <w:tc>
          <w:tcPr>
            <w:tcW w:w="3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20206B8"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2C8A061" w14:textId="77777777" w:rsidR="005D07A6" w:rsidRDefault="00F42774">
            <w:pPr>
              <w:pStyle w:val="TA1"/>
              <w:jc w:val="right"/>
              <w:rPr>
                <w:rFonts w:eastAsiaTheme="minorEastAsia"/>
              </w:rPr>
            </w:pPr>
            <w:r>
              <w:t>8 141,0</w:t>
            </w:r>
          </w:p>
          <w:p w14:paraId="35BD736B" w14:textId="77777777" w:rsidR="005D07A6" w:rsidRDefault="00F42774">
            <w:pPr>
              <w:pStyle w:val="TA1"/>
              <w:jc w:val="right"/>
              <w:rPr>
                <w:rFonts w:eastAsiaTheme="minorEastAsia"/>
              </w:rPr>
            </w:pPr>
            <w:r>
              <w:lastRenderedPageBreak/>
              <w:t>9 356,5</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001A2F8" w14:textId="77777777" w:rsidR="005D07A6" w:rsidRDefault="00F42774">
            <w:pPr>
              <w:pStyle w:val="TA1"/>
              <w:jc w:val="right"/>
              <w:rPr>
                <w:rFonts w:eastAsiaTheme="minorEastAsia"/>
              </w:rPr>
            </w:pPr>
            <w:r>
              <w:lastRenderedPageBreak/>
              <w:t>1 720</w:t>
            </w:r>
          </w:p>
          <w:p w14:paraId="19D5C86E" w14:textId="77777777" w:rsidR="005D07A6" w:rsidRDefault="00F42774">
            <w:pPr>
              <w:pStyle w:val="TA1"/>
              <w:jc w:val="right"/>
              <w:rPr>
                <w:rFonts w:eastAsiaTheme="minorEastAsia"/>
              </w:rPr>
            </w:pPr>
            <w:r>
              <w:lastRenderedPageBreak/>
              <w:t>700</w:t>
            </w:r>
          </w:p>
        </w:tc>
        <w:tc>
          <w:tcPr>
            <w:tcW w:w="3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976F09D"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2F989E8" w14:textId="77777777" w:rsidR="005D07A6" w:rsidRDefault="00F42774">
            <w:pPr>
              <w:pStyle w:val="TA1"/>
              <w:jc w:val="right"/>
              <w:rPr>
                <w:rFonts w:eastAsiaTheme="minorEastAsia"/>
              </w:rPr>
            </w:pPr>
            <w:r>
              <w:t>30 629,5</w:t>
            </w:r>
          </w:p>
          <w:p w14:paraId="5A2C5F13" w14:textId="77777777" w:rsidR="005D07A6" w:rsidRDefault="00F42774">
            <w:pPr>
              <w:pStyle w:val="TA1"/>
              <w:jc w:val="right"/>
              <w:rPr>
                <w:rFonts w:eastAsiaTheme="minorEastAsia"/>
              </w:rPr>
            </w:pPr>
            <w:r>
              <w:lastRenderedPageBreak/>
              <w:t>11 962,5</w:t>
            </w:r>
          </w:p>
        </w:tc>
      </w:tr>
      <w:tr w:rsidR="005D07A6" w14:paraId="51C4E6AE" w14:textId="77777777">
        <w:tc>
          <w:tcPr>
            <w:tcW w:w="1470" w:type="dxa"/>
            <w:tcBorders>
              <w:top w:val="nil"/>
              <w:left w:val="single" w:sz="4" w:space="0" w:color="auto"/>
              <w:bottom w:val="nil"/>
              <w:right w:val="single" w:sz="4" w:space="0" w:color="auto"/>
            </w:tcBorders>
            <w:tcMar>
              <w:top w:w="0" w:type="dxa"/>
              <w:left w:w="2" w:type="dxa"/>
              <w:bottom w:w="0" w:type="dxa"/>
              <w:right w:w="2" w:type="dxa"/>
            </w:tcMar>
            <w:hideMark/>
          </w:tcPr>
          <w:p w14:paraId="3422ED1E" w14:textId="77777777" w:rsidR="005D07A6" w:rsidRDefault="00F42774">
            <w:pPr>
              <w:pStyle w:val="TA1"/>
              <w:rPr>
                <w:rFonts w:eastAsiaTheme="minorEastAsia"/>
              </w:rPr>
            </w:pPr>
            <w:r>
              <w:lastRenderedPageBreak/>
              <w:t>Total</w:t>
            </w:r>
          </w:p>
          <w:p w14:paraId="3AEF7855" w14:textId="77777777" w:rsidR="005D07A6" w:rsidRDefault="00F42774">
            <w:pPr>
              <w:pStyle w:val="TA1"/>
              <w:rPr>
                <w:rFonts w:eastAsiaTheme="minorEastAsia"/>
              </w:rPr>
            </w:pPr>
            <w:r>
              <w:t>Sorties</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FE825F4" w14:textId="77777777" w:rsidR="005D07A6" w:rsidRDefault="00F42774">
            <w:pPr>
              <w:pStyle w:val="TA1"/>
              <w:jc w:val="right"/>
              <w:rPr>
                <w:rFonts w:eastAsiaTheme="minorEastAsia"/>
              </w:rPr>
            </w:pPr>
            <w:r>
              <w:t>2 333</w:t>
            </w:r>
          </w:p>
          <w:p w14:paraId="5804C9A5" w14:textId="77777777" w:rsidR="005D07A6" w:rsidRDefault="00F42774">
            <w:pPr>
              <w:pStyle w:val="TA1"/>
              <w:jc w:val="right"/>
              <w:rPr>
                <w:rFonts w:eastAsiaTheme="minorEastAsia"/>
              </w:rPr>
            </w:pPr>
            <w:r>
              <w:t>2 192</w:t>
            </w:r>
          </w:p>
        </w:tc>
        <w:tc>
          <w:tcPr>
            <w:tcW w:w="3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AB8AE22" w14:textId="77777777" w:rsidR="005D07A6" w:rsidRDefault="00F42774">
            <w:pPr>
              <w:pStyle w:val="TA1"/>
              <w:jc w:val="center"/>
              <w:rPr>
                <w:rFonts w:eastAsiaTheme="minorEastAsia"/>
              </w:rPr>
            </w:pPr>
            <w:r>
              <w:t>7,5</w:t>
            </w:r>
          </w:p>
          <w:p w14:paraId="29FD3D79" w14:textId="77777777" w:rsidR="005D07A6" w:rsidRDefault="00F42774">
            <w:pPr>
              <w:pStyle w:val="TA1"/>
              <w:jc w:val="center"/>
              <w:rPr>
                <w:rFonts w:eastAsiaTheme="minorEastAsia"/>
              </w:rPr>
            </w:pPr>
            <w:r>
              <w:t>7,5</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32C0CBE" w14:textId="77777777" w:rsidR="005D07A6" w:rsidRDefault="00F42774">
            <w:pPr>
              <w:pStyle w:val="TA1"/>
              <w:jc w:val="right"/>
              <w:rPr>
                <w:rFonts w:eastAsiaTheme="minorEastAsia"/>
              </w:rPr>
            </w:pPr>
            <w:r>
              <w:t>17 497,5</w:t>
            </w:r>
          </w:p>
          <w:p w14:paraId="7BF1C14B" w14:textId="77777777" w:rsidR="005D07A6" w:rsidRDefault="00F42774">
            <w:pPr>
              <w:pStyle w:val="TA1"/>
              <w:jc w:val="right"/>
              <w:rPr>
                <w:rFonts w:eastAsiaTheme="minorEastAsia"/>
              </w:rPr>
            </w:pPr>
            <w:r>
              <w:t>16 440,0</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4914639" w14:textId="77777777" w:rsidR="005D07A6" w:rsidRDefault="00F42774">
            <w:pPr>
              <w:pStyle w:val="TA1"/>
              <w:jc w:val="right"/>
              <w:rPr>
                <w:rFonts w:eastAsiaTheme="minorEastAsia"/>
              </w:rPr>
            </w:pPr>
            <w:r>
              <w:t>2 420</w:t>
            </w:r>
          </w:p>
          <w:p w14:paraId="543FA271" w14:textId="77777777" w:rsidR="005D07A6" w:rsidRDefault="00F42774">
            <w:pPr>
              <w:pStyle w:val="TA1"/>
              <w:jc w:val="right"/>
              <w:rPr>
                <w:rFonts w:eastAsiaTheme="minorEastAsia"/>
              </w:rPr>
            </w:pPr>
            <w:r>
              <w:t>2 192</w:t>
            </w:r>
          </w:p>
        </w:tc>
        <w:tc>
          <w:tcPr>
            <w:tcW w:w="3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847A98F" w14:textId="77777777" w:rsidR="005D07A6" w:rsidRDefault="00F42774">
            <w:pPr>
              <w:pStyle w:val="TA1"/>
              <w:jc w:val="right"/>
              <w:rPr>
                <w:rFonts w:eastAsiaTheme="minorEastAsia"/>
              </w:rPr>
            </w:pPr>
            <w:r>
              <w:t>17,6</w:t>
            </w:r>
          </w:p>
          <w:p w14:paraId="6040AAFD" w14:textId="77777777" w:rsidR="005D07A6" w:rsidRDefault="00F42774">
            <w:pPr>
              <w:pStyle w:val="TA1"/>
              <w:jc w:val="right"/>
              <w:rPr>
                <w:rFonts w:eastAsiaTheme="minorEastAsia"/>
              </w:rPr>
            </w:pPr>
            <w:r>
              <w:t>17,6</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BEC9629" w14:textId="77777777" w:rsidR="005D07A6" w:rsidRDefault="00F42774">
            <w:pPr>
              <w:pStyle w:val="TA1"/>
              <w:jc w:val="right"/>
              <w:rPr>
                <w:rFonts w:eastAsiaTheme="minorEastAsia"/>
              </w:rPr>
            </w:pPr>
            <w:r>
              <w:t>42 592,0</w:t>
            </w:r>
          </w:p>
          <w:p w14:paraId="2E496C1A" w14:textId="77777777" w:rsidR="005D07A6" w:rsidRDefault="00F42774">
            <w:pPr>
              <w:pStyle w:val="TA1"/>
              <w:jc w:val="right"/>
              <w:rPr>
                <w:rFonts w:eastAsiaTheme="minorEastAsia"/>
              </w:rPr>
            </w:pPr>
            <w:r>
              <w:t>38 579,2</w:t>
            </w:r>
          </w:p>
        </w:tc>
      </w:tr>
      <w:tr w:rsidR="005D07A6" w14:paraId="7F585498" w14:textId="77777777">
        <w:tc>
          <w:tcPr>
            <w:tcW w:w="1470" w:type="dxa"/>
            <w:tcBorders>
              <w:top w:val="nil"/>
              <w:left w:val="single" w:sz="4" w:space="0" w:color="auto"/>
              <w:bottom w:val="nil"/>
              <w:right w:val="single" w:sz="4" w:space="0" w:color="auto"/>
            </w:tcBorders>
            <w:tcMar>
              <w:top w:w="0" w:type="dxa"/>
              <w:left w:w="2" w:type="dxa"/>
              <w:bottom w:w="0" w:type="dxa"/>
              <w:right w:w="2" w:type="dxa"/>
            </w:tcMar>
            <w:hideMark/>
          </w:tcPr>
          <w:p w14:paraId="09D274C2" w14:textId="77777777" w:rsidR="005D07A6" w:rsidRDefault="00F42774">
            <w:pPr>
              <w:pStyle w:val="TA1"/>
              <w:rPr>
                <w:rFonts w:eastAsiaTheme="minorEastAsia"/>
              </w:rPr>
            </w:pPr>
            <w:r>
              <w:t>SF théorique</w:t>
            </w:r>
          </w:p>
          <w:p w14:paraId="69D5FE41" w14:textId="77777777" w:rsidR="005D07A6" w:rsidRDefault="00F42774">
            <w:pPr>
              <w:pStyle w:val="TA1"/>
              <w:rPr>
                <w:rFonts w:eastAsiaTheme="minorEastAsia"/>
              </w:rPr>
            </w:pPr>
            <w:r>
              <w:t>Dif. d’inventaire</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1880444" w14:textId="77777777" w:rsidR="005D07A6" w:rsidRDefault="00F42774">
            <w:pPr>
              <w:pStyle w:val="TA1"/>
              <w:jc w:val="right"/>
              <w:rPr>
                <w:rFonts w:eastAsiaTheme="minorEastAsia"/>
              </w:rPr>
            </w:pPr>
            <w:r>
              <w:t>141</w:t>
            </w:r>
          </w:p>
          <w:p w14:paraId="6A1879D2" w14:textId="77777777" w:rsidR="005D07A6" w:rsidRDefault="00F42774">
            <w:pPr>
              <w:pStyle w:val="TA1"/>
              <w:jc w:val="right"/>
              <w:rPr>
                <w:rFonts w:eastAsiaTheme="minorEastAsia"/>
              </w:rPr>
            </w:pPr>
            <w:r>
              <w:t>– 1</w:t>
            </w:r>
          </w:p>
        </w:tc>
        <w:tc>
          <w:tcPr>
            <w:tcW w:w="3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8065451" w14:textId="77777777" w:rsidR="005D07A6" w:rsidRDefault="00F42774">
            <w:pPr>
              <w:pStyle w:val="TA1"/>
              <w:jc w:val="center"/>
              <w:rPr>
                <w:rFonts w:eastAsiaTheme="minorEastAsia"/>
              </w:rPr>
            </w:pPr>
            <w:r>
              <w:t>7,5</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5DD77E6" w14:textId="77777777" w:rsidR="005D07A6" w:rsidRDefault="00F42774">
            <w:pPr>
              <w:pStyle w:val="TA1"/>
              <w:jc w:val="right"/>
              <w:rPr>
                <w:rFonts w:eastAsiaTheme="minorEastAsia"/>
              </w:rPr>
            </w:pPr>
            <w:r>
              <w:t>1 057,5</w:t>
            </w:r>
          </w:p>
          <w:p w14:paraId="0C4D8F8B" w14:textId="77777777" w:rsidR="005D07A6" w:rsidRDefault="00F42774">
            <w:pPr>
              <w:pStyle w:val="TA1"/>
              <w:jc w:val="right"/>
              <w:rPr>
                <w:rFonts w:eastAsiaTheme="minorEastAsia"/>
              </w:rPr>
            </w:pPr>
            <w:r>
              <w:t>– 7,5</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6888AEF" w14:textId="77777777" w:rsidR="005D07A6" w:rsidRDefault="00F42774">
            <w:pPr>
              <w:pStyle w:val="TA1"/>
              <w:jc w:val="right"/>
              <w:rPr>
                <w:rFonts w:eastAsiaTheme="minorEastAsia"/>
              </w:rPr>
            </w:pPr>
            <w:r>
              <w:t>228</w:t>
            </w:r>
          </w:p>
          <w:p w14:paraId="0F46B896" w14:textId="77777777" w:rsidR="005D07A6" w:rsidRDefault="00F42774">
            <w:pPr>
              <w:pStyle w:val="TA1"/>
              <w:jc w:val="right"/>
              <w:rPr>
                <w:rFonts w:eastAsiaTheme="minorEastAsia"/>
              </w:rPr>
            </w:pPr>
            <w:r>
              <w:t>–</w:t>
            </w:r>
          </w:p>
        </w:tc>
        <w:tc>
          <w:tcPr>
            <w:tcW w:w="3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7240A17"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CA3E5A7" w14:textId="77777777" w:rsidR="005D07A6" w:rsidRDefault="00F42774">
            <w:pPr>
              <w:pStyle w:val="TA1"/>
              <w:jc w:val="right"/>
              <w:rPr>
                <w:rFonts w:eastAsiaTheme="minorEastAsia"/>
              </w:rPr>
            </w:pPr>
            <w:r>
              <w:t>4 012,8</w:t>
            </w:r>
          </w:p>
          <w:p w14:paraId="26AE1495" w14:textId="77777777" w:rsidR="005D07A6" w:rsidRDefault="00F42774">
            <w:pPr>
              <w:pStyle w:val="TA1"/>
              <w:jc w:val="right"/>
              <w:rPr>
                <w:rFonts w:eastAsiaTheme="minorEastAsia"/>
              </w:rPr>
            </w:pPr>
            <w:r>
              <w:t>–</w:t>
            </w:r>
          </w:p>
        </w:tc>
      </w:tr>
      <w:tr w:rsidR="005D07A6" w14:paraId="42F43444" w14:textId="77777777">
        <w:tc>
          <w:tcPr>
            <w:tcW w:w="147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AB23B75" w14:textId="77777777" w:rsidR="005D07A6" w:rsidRDefault="00F42774">
            <w:pPr>
              <w:pStyle w:val="TA1"/>
              <w:rPr>
                <w:rFonts w:eastAsiaTheme="minorEastAsia"/>
              </w:rPr>
            </w:pPr>
            <w:r>
              <w:t>SF réel</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29FFB9B" w14:textId="77777777" w:rsidR="005D07A6" w:rsidRDefault="00F42774">
            <w:pPr>
              <w:pStyle w:val="TA1"/>
              <w:jc w:val="right"/>
              <w:rPr>
                <w:rFonts w:eastAsiaTheme="minorEastAsia"/>
              </w:rPr>
            </w:pPr>
            <w:r>
              <w:t>140</w:t>
            </w:r>
          </w:p>
        </w:tc>
        <w:tc>
          <w:tcPr>
            <w:tcW w:w="3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E8425C6"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EAA0D2C" w14:textId="77777777" w:rsidR="005D07A6" w:rsidRDefault="00F42774">
            <w:pPr>
              <w:pStyle w:val="TA1"/>
              <w:jc w:val="right"/>
              <w:rPr>
                <w:rFonts w:eastAsiaTheme="minorEastAsia"/>
              </w:rPr>
            </w:pPr>
            <w:r>
              <w:t>1 050</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CC82EB8" w14:textId="77777777" w:rsidR="005D07A6" w:rsidRDefault="00F42774">
            <w:pPr>
              <w:pStyle w:val="TA1"/>
              <w:jc w:val="right"/>
              <w:rPr>
                <w:rFonts w:eastAsiaTheme="minorEastAsia"/>
              </w:rPr>
            </w:pPr>
            <w:r>
              <w:t>228</w:t>
            </w:r>
          </w:p>
        </w:tc>
        <w:tc>
          <w:tcPr>
            <w:tcW w:w="3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6B52B99"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F5675DB" w14:textId="77777777" w:rsidR="005D07A6" w:rsidRDefault="00F42774">
            <w:pPr>
              <w:pStyle w:val="TA1"/>
              <w:jc w:val="right"/>
              <w:rPr>
                <w:rFonts w:eastAsiaTheme="minorEastAsia"/>
              </w:rPr>
            </w:pPr>
            <w:r>
              <w:t>4 012,8</w:t>
            </w:r>
          </w:p>
        </w:tc>
      </w:tr>
    </w:tbl>
    <w:p w14:paraId="2D85E926" w14:textId="77777777" w:rsidR="005D07A6" w:rsidRDefault="00F42774">
      <w:pPr>
        <w:pStyle w:val="TNiv2"/>
        <w:rPr>
          <w:rFonts w:eastAsiaTheme="minorEastAsia"/>
        </w:rPr>
      </w:pPr>
      <w:r>
        <w:t>e) Coût de production des HP médium</w:t>
      </w:r>
    </w:p>
    <w:tbl>
      <w:tblPr>
        <w:tblW w:w="3680" w:type="dxa"/>
        <w:tblInd w:w="1701" w:type="dxa"/>
        <w:tblLook w:val="04A0" w:firstRow="1" w:lastRow="0" w:firstColumn="1" w:lastColumn="0" w:noHBand="0" w:noVBand="1"/>
      </w:tblPr>
      <w:tblGrid>
        <w:gridCol w:w="1523"/>
        <w:gridCol w:w="1378"/>
        <w:gridCol w:w="779"/>
      </w:tblGrid>
      <w:tr w:rsidR="005D07A6" w14:paraId="686CDE9D" w14:textId="77777777">
        <w:tc>
          <w:tcPr>
            <w:tcW w:w="129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54E257C" w14:textId="77777777" w:rsidR="005D07A6" w:rsidRDefault="00F42774">
            <w:pPr>
              <w:pStyle w:val="TA1"/>
              <w:rPr>
                <w:rFonts w:eastAsiaTheme="minorEastAsia"/>
              </w:rPr>
            </w:pPr>
            <w:r>
              <w:t>Carcasses utilisées</w:t>
            </w:r>
          </w:p>
          <w:p w14:paraId="2200AEE3" w14:textId="77777777" w:rsidR="005D07A6" w:rsidRDefault="00F42774">
            <w:pPr>
              <w:pStyle w:val="TA1"/>
            </w:pPr>
            <w:r>
              <w:t>Cônes utilisés</w:t>
            </w:r>
          </w:p>
          <w:p w14:paraId="0F41EDB8" w14:textId="77777777" w:rsidR="005D07A6" w:rsidRDefault="00F42774">
            <w:pPr>
              <w:pStyle w:val="TA1"/>
              <w:rPr>
                <w:rFonts w:eastAsiaTheme="minorEastAsia"/>
              </w:rPr>
            </w:pPr>
            <w:r>
              <w:t>Centre fabrication</w:t>
            </w:r>
          </w:p>
        </w:tc>
        <w:tc>
          <w:tcPr>
            <w:tcW w:w="81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F49689C" w14:textId="77777777" w:rsidR="005D07A6" w:rsidRDefault="00F42774">
            <w:pPr>
              <w:pStyle w:val="TA1"/>
              <w:jc w:val="right"/>
              <w:rPr>
                <w:rFonts w:eastAsiaTheme="minorEastAsia"/>
              </w:rPr>
            </w:pPr>
            <w:r>
              <w:t>4,80 € × 1 450</w:t>
            </w:r>
          </w:p>
          <w:p w14:paraId="6E3F0E6C" w14:textId="77777777" w:rsidR="005D07A6" w:rsidRDefault="00F42774">
            <w:pPr>
              <w:pStyle w:val="TA1"/>
              <w:jc w:val="right"/>
              <w:rPr>
                <w:rFonts w:eastAsiaTheme="minorEastAsia"/>
              </w:rPr>
            </w:pPr>
            <w:r>
              <w:t>0,60 € × 1 450</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41938DA" w14:textId="77777777" w:rsidR="005D07A6" w:rsidRDefault="00F42774">
            <w:pPr>
              <w:pStyle w:val="TA1"/>
              <w:jc w:val="right"/>
              <w:rPr>
                <w:rFonts w:eastAsiaTheme="minorEastAsia"/>
              </w:rPr>
            </w:pPr>
            <w:r>
              <w:t>6 960</w:t>
            </w:r>
          </w:p>
          <w:p w14:paraId="56A6C129" w14:textId="77777777" w:rsidR="005D07A6" w:rsidRDefault="00F42774">
            <w:pPr>
              <w:pStyle w:val="TA1"/>
              <w:jc w:val="right"/>
            </w:pPr>
            <w:r>
              <w:t>870</w:t>
            </w:r>
          </w:p>
          <w:p w14:paraId="564D240D" w14:textId="77777777" w:rsidR="005D07A6" w:rsidRDefault="00F42774">
            <w:pPr>
              <w:pStyle w:val="TA1"/>
              <w:jc w:val="right"/>
              <w:rPr>
                <w:rFonts w:eastAsiaTheme="minorEastAsia"/>
              </w:rPr>
            </w:pPr>
            <w:r>
              <w:t>10 875</w:t>
            </w:r>
          </w:p>
        </w:tc>
      </w:tr>
      <w:tr w:rsidR="005D07A6" w14:paraId="5D3BB4AA" w14:textId="77777777">
        <w:tc>
          <w:tcPr>
            <w:tcW w:w="129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3A50959" w14:textId="77777777" w:rsidR="005D07A6" w:rsidRDefault="00F42774">
            <w:pPr>
              <w:pStyle w:val="TA1"/>
              <w:rPr>
                <w:rFonts w:eastAsiaTheme="minorEastAsia"/>
              </w:rPr>
            </w:pPr>
            <w:r>
              <w:t>Coût de production</w:t>
            </w:r>
          </w:p>
        </w:tc>
        <w:tc>
          <w:tcPr>
            <w:tcW w:w="81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D646CC7" w14:textId="77777777" w:rsidR="005D07A6" w:rsidRDefault="005D07A6"/>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0ADF923" w14:textId="77777777" w:rsidR="005D07A6" w:rsidRDefault="00F42774">
            <w:pPr>
              <w:pStyle w:val="TA1"/>
              <w:jc w:val="right"/>
              <w:rPr>
                <w:rFonts w:eastAsiaTheme="minorEastAsia"/>
              </w:rPr>
            </w:pPr>
            <w:r>
              <w:t>18 705</w:t>
            </w:r>
          </w:p>
        </w:tc>
      </w:tr>
    </w:tbl>
    <w:p w14:paraId="568ECED3" w14:textId="77777777" w:rsidR="005D07A6" w:rsidRDefault="00F42774">
      <w:pPr>
        <w:pStyle w:val="TNiv2"/>
        <w:rPr>
          <w:rFonts w:eastAsiaTheme="minorEastAsia"/>
        </w:rPr>
      </w:pPr>
      <w:r>
        <w:t>f) Fiche de stock des HP médium</w:t>
      </w:r>
    </w:p>
    <w:tbl>
      <w:tblPr>
        <w:tblW w:w="3663" w:type="dxa"/>
        <w:tblInd w:w="1701" w:type="dxa"/>
        <w:tblLook w:val="04A0" w:firstRow="1" w:lastRow="0" w:firstColumn="1" w:lastColumn="0" w:noHBand="0" w:noVBand="1"/>
      </w:tblPr>
      <w:tblGrid>
        <w:gridCol w:w="1251"/>
        <w:gridCol w:w="840"/>
        <w:gridCol w:w="645"/>
        <w:gridCol w:w="927"/>
      </w:tblGrid>
      <w:tr w:rsidR="005D07A6" w14:paraId="24649920" w14:textId="77777777">
        <w:tc>
          <w:tcPr>
            <w:tcW w:w="96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FA1522A" w14:textId="77777777" w:rsidR="005D07A6" w:rsidRDefault="00F42774">
            <w:pPr>
              <w:pStyle w:val="TA1"/>
              <w:rPr>
                <w:rFonts w:eastAsiaTheme="minorEastAsia"/>
              </w:rPr>
            </w:pPr>
            <w:r>
              <w:t>Stock initial</w:t>
            </w:r>
          </w:p>
          <w:p w14:paraId="2AD9E31C" w14:textId="77777777" w:rsidR="005D07A6" w:rsidRDefault="00F42774">
            <w:pPr>
              <w:pStyle w:val="TA1"/>
              <w:rPr>
                <w:rFonts w:eastAsiaTheme="minorEastAsia"/>
              </w:rPr>
            </w:pPr>
            <w:r>
              <w:t>Entrées</w:t>
            </w:r>
          </w:p>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3EA7873" w14:textId="77777777" w:rsidR="005D07A6" w:rsidRDefault="00F42774">
            <w:pPr>
              <w:pStyle w:val="TA1"/>
              <w:jc w:val="right"/>
              <w:rPr>
                <w:rFonts w:eastAsiaTheme="minorEastAsia"/>
              </w:rPr>
            </w:pPr>
            <w:r>
              <w:t>832</w:t>
            </w:r>
          </w:p>
          <w:p w14:paraId="551B8DFF" w14:textId="77777777" w:rsidR="005D07A6" w:rsidRDefault="00F42774">
            <w:pPr>
              <w:pStyle w:val="TA1"/>
              <w:jc w:val="right"/>
              <w:rPr>
                <w:rFonts w:eastAsiaTheme="minorEastAsia"/>
              </w:rPr>
            </w:pPr>
            <w:r>
              <w:t>1 450</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D234EA6" w14:textId="77777777" w:rsidR="005D07A6" w:rsidRDefault="005D07A6"/>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E8CF611" w14:textId="77777777" w:rsidR="005D07A6" w:rsidRDefault="00F42774">
            <w:pPr>
              <w:pStyle w:val="TA1"/>
              <w:jc w:val="right"/>
              <w:rPr>
                <w:rFonts w:eastAsiaTheme="minorEastAsia"/>
              </w:rPr>
            </w:pPr>
            <w:r>
              <w:t>12 900,7</w:t>
            </w:r>
          </w:p>
          <w:p w14:paraId="30C8DA1F" w14:textId="77777777" w:rsidR="005D07A6" w:rsidRDefault="00F42774">
            <w:pPr>
              <w:pStyle w:val="TA1"/>
              <w:jc w:val="right"/>
              <w:rPr>
                <w:rFonts w:eastAsiaTheme="minorEastAsia"/>
              </w:rPr>
            </w:pPr>
            <w:r>
              <w:t>18 705,0</w:t>
            </w:r>
          </w:p>
        </w:tc>
      </w:tr>
      <w:tr w:rsidR="005D07A6" w14:paraId="11951022" w14:textId="77777777">
        <w:tc>
          <w:tcPr>
            <w:tcW w:w="960" w:type="dxa"/>
            <w:tcBorders>
              <w:top w:val="nil"/>
              <w:left w:val="single" w:sz="4" w:space="0" w:color="auto"/>
              <w:bottom w:val="nil"/>
              <w:right w:val="single" w:sz="4" w:space="0" w:color="auto"/>
            </w:tcBorders>
            <w:tcMar>
              <w:top w:w="0" w:type="dxa"/>
              <w:left w:w="2" w:type="dxa"/>
              <w:bottom w:w="0" w:type="dxa"/>
              <w:right w:w="2" w:type="dxa"/>
            </w:tcMar>
            <w:hideMark/>
          </w:tcPr>
          <w:p w14:paraId="42532D80" w14:textId="77777777" w:rsidR="005D07A6" w:rsidRDefault="00F42774">
            <w:pPr>
              <w:pStyle w:val="TA1"/>
              <w:rPr>
                <w:rFonts w:eastAsiaTheme="minorEastAsia"/>
              </w:rPr>
            </w:pPr>
            <w:r>
              <w:t>Total</w:t>
            </w:r>
          </w:p>
          <w:p w14:paraId="0C056F47" w14:textId="77777777" w:rsidR="005D07A6" w:rsidRDefault="00F42774">
            <w:pPr>
              <w:pStyle w:val="TA1"/>
              <w:rPr>
                <w:rFonts w:eastAsiaTheme="minorEastAsia"/>
              </w:rPr>
            </w:pPr>
            <w:r>
              <w:t>Sorties</w:t>
            </w:r>
          </w:p>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78AC039" w14:textId="77777777" w:rsidR="005D07A6" w:rsidRDefault="00F42774">
            <w:pPr>
              <w:pStyle w:val="TA1"/>
              <w:jc w:val="right"/>
              <w:rPr>
                <w:rFonts w:eastAsiaTheme="minorEastAsia"/>
              </w:rPr>
            </w:pPr>
            <w:r>
              <w:t>2 282</w:t>
            </w:r>
          </w:p>
          <w:p w14:paraId="30FD24D9" w14:textId="77777777" w:rsidR="005D07A6" w:rsidRDefault="00F42774">
            <w:pPr>
              <w:pStyle w:val="TA1"/>
              <w:jc w:val="right"/>
              <w:rPr>
                <w:rFonts w:eastAsiaTheme="minorEastAsia"/>
              </w:rPr>
            </w:pPr>
            <w:r>
              <w:t>1 352</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A7B6003" w14:textId="77777777" w:rsidR="005D07A6" w:rsidRDefault="00F42774">
            <w:pPr>
              <w:pStyle w:val="TA1"/>
              <w:jc w:val="right"/>
              <w:rPr>
                <w:rFonts w:eastAsiaTheme="minorEastAsia"/>
              </w:rPr>
            </w:pPr>
            <w:r>
              <w:t>13,85</w:t>
            </w:r>
          </w:p>
          <w:p w14:paraId="6A1F425B" w14:textId="77777777" w:rsidR="005D07A6" w:rsidRDefault="00F42774">
            <w:pPr>
              <w:pStyle w:val="TA1"/>
              <w:jc w:val="right"/>
              <w:rPr>
                <w:rFonts w:eastAsiaTheme="minorEastAsia"/>
              </w:rPr>
            </w:pPr>
            <w:r>
              <w:t>13,85</w:t>
            </w:r>
          </w:p>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C419338" w14:textId="77777777" w:rsidR="005D07A6" w:rsidRDefault="00F42774">
            <w:pPr>
              <w:pStyle w:val="TA1"/>
              <w:jc w:val="right"/>
              <w:rPr>
                <w:rFonts w:eastAsiaTheme="minorEastAsia"/>
              </w:rPr>
            </w:pPr>
            <w:r>
              <w:t>31 605,7</w:t>
            </w:r>
          </w:p>
          <w:p w14:paraId="0AB9B658" w14:textId="77777777" w:rsidR="005D07A6" w:rsidRDefault="00F42774">
            <w:pPr>
              <w:pStyle w:val="TA1"/>
              <w:jc w:val="right"/>
              <w:rPr>
                <w:rFonts w:eastAsiaTheme="minorEastAsia"/>
              </w:rPr>
            </w:pPr>
            <w:r>
              <w:t>18 725,2</w:t>
            </w:r>
          </w:p>
        </w:tc>
      </w:tr>
      <w:tr w:rsidR="005D07A6" w14:paraId="2BBDAD5E" w14:textId="77777777">
        <w:tc>
          <w:tcPr>
            <w:tcW w:w="960" w:type="dxa"/>
            <w:tcBorders>
              <w:top w:val="nil"/>
              <w:left w:val="single" w:sz="4" w:space="0" w:color="auto"/>
              <w:bottom w:val="nil"/>
              <w:right w:val="single" w:sz="4" w:space="0" w:color="auto"/>
            </w:tcBorders>
            <w:tcMar>
              <w:top w:w="0" w:type="dxa"/>
              <w:left w:w="2" w:type="dxa"/>
              <w:bottom w:w="0" w:type="dxa"/>
              <w:right w:w="2" w:type="dxa"/>
            </w:tcMar>
            <w:hideMark/>
          </w:tcPr>
          <w:p w14:paraId="1E98AABE" w14:textId="77777777" w:rsidR="005D07A6" w:rsidRDefault="00F42774">
            <w:pPr>
              <w:pStyle w:val="TA1"/>
              <w:rPr>
                <w:rFonts w:eastAsiaTheme="minorEastAsia"/>
              </w:rPr>
            </w:pPr>
            <w:r>
              <w:t>SF théorique</w:t>
            </w:r>
          </w:p>
          <w:p w14:paraId="61DAEBF3" w14:textId="77777777" w:rsidR="005D07A6" w:rsidRDefault="00F42774">
            <w:pPr>
              <w:pStyle w:val="TA1"/>
              <w:rPr>
                <w:rFonts w:eastAsiaTheme="minorEastAsia"/>
              </w:rPr>
            </w:pPr>
            <w:r>
              <w:t>Dif. d’inventaire</w:t>
            </w:r>
          </w:p>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69ABA92" w14:textId="77777777" w:rsidR="005D07A6" w:rsidRDefault="00F42774">
            <w:pPr>
              <w:pStyle w:val="TA1"/>
              <w:jc w:val="right"/>
              <w:rPr>
                <w:rFonts w:eastAsiaTheme="minorEastAsia"/>
              </w:rPr>
            </w:pPr>
            <w:r>
              <w:t>930</w:t>
            </w:r>
          </w:p>
          <w:p w14:paraId="18F43F18" w14:textId="77777777" w:rsidR="005D07A6" w:rsidRDefault="00F42774">
            <w:pPr>
              <w:pStyle w:val="TA1"/>
              <w:jc w:val="right"/>
              <w:rPr>
                <w:rFonts w:eastAsiaTheme="minorEastAsia"/>
              </w:rPr>
            </w:pPr>
            <w:r>
              <w:t>– 8</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D253D34" w14:textId="77777777" w:rsidR="005D07A6" w:rsidRDefault="00F42774">
            <w:pPr>
              <w:pStyle w:val="TA1"/>
              <w:jc w:val="right"/>
              <w:rPr>
                <w:rFonts w:eastAsiaTheme="minorEastAsia"/>
              </w:rPr>
            </w:pPr>
            <w:r>
              <w:t>13,85</w:t>
            </w:r>
          </w:p>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8A9EAA7" w14:textId="77777777" w:rsidR="005D07A6" w:rsidRDefault="00F42774">
            <w:pPr>
              <w:pStyle w:val="TA1"/>
              <w:jc w:val="right"/>
              <w:rPr>
                <w:rFonts w:eastAsiaTheme="minorEastAsia"/>
              </w:rPr>
            </w:pPr>
            <w:r>
              <w:t>12 880,5</w:t>
            </w:r>
          </w:p>
          <w:p w14:paraId="399BDEC3" w14:textId="77777777" w:rsidR="005D07A6" w:rsidRDefault="00F42774">
            <w:pPr>
              <w:pStyle w:val="TA1"/>
              <w:jc w:val="right"/>
              <w:rPr>
                <w:rFonts w:eastAsiaTheme="minorEastAsia"/>
              </w:rPr>
            </w:pPr>
            <w:r>
              <w:t>– 110,8</w:t>
            </w:r>
          </w:p>
        </w:tc>
      </w:tr>
      <w:tr w:rsidR="005D07A6" w14:paraId="2F923F38" w14:textId="77777777">
        <w:tc>
          <w:tcPr>
            <w:tcW w:w="96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6B0B06A" w14:textId="77777777" w:rsidR="005D07A6" w:rsidRDefault="00F42774">
            <w:pPr>
              <w:pStyle w:val="TA1"/>
              <w:rPr>
                <w:rFonts w:eastAsiaTheme="minorEastAsia"/>
              </w:rPr>
            </w:pPr>
            <w:r>
              <w:t>SF réel</w:t>
            </w:r>
          </w:p>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36C8E00" w14:textId="77777777" w:rsidR="005D07A6" w:rsidRDefault="00F42774">
            <w:pPr>
              <w:pStyle w:val="TA1"/>
              <w:jc w:val="right"/>
              <w:rPr>
                <w:rFonts w:eastAsiaTheme="minorEastAsia"/>
              </w:rPr>
            </w:pPr>
            <w:r>
              <w:t>922</w:t>
            </w:r>
          </w:p>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6907861" w14:textId="77777777" w:rsidR="005D07A6" w:rsidRDefault="005D07A6"/>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F670E08" w14:textId="77777777" w:rsidR="005D07A6" w:rsidRDefault="00F42774">
            <w:pPr>
              <w:pStyle w:val="TA1"/>
              <w:jc w:val="right"/>
              <w:rPr>
                <w:rFonts w:eastAsiaTheme="minorEastAsia"/>
              </w:rPr>
            </w:pPr>
            <w:r>
              <w:t>12 769,7</w:t>
            </w:r>
          </w:p>
        </w:tc>
      </w:tr>
    </w:tbl>
    <w:p w14:paraId="189019FE" w14:textId="77777777" w:rsidR="005D07A6" w:rsidRDefault="00F42774">
      <w:pPr>
        <w:pStyle w:val="TNiv2"/>
        <w:rPr>
          <w:rFonts w:eastAsiaTheme="minorEastAsia"/>
        </w:rPr>
      </w:pPr>
      <w:r>
        <w:t>g) Coût de production des boîtiers</w:t>
      </w:r>
    </w:p>
    <w:tbl>
      <w:tblPr>
        <w:tblW w:w="3680" w:type="dxa"/>
        <w:tblInd w:w="1701" w:type="dxa"/>
        <w:tblLook w:val="04A0" w:firstRow="1" w:lastRow="0" w:firstColumn="1" w:lastColumn="0" w:noHBand="0" w:noVBand="1"/>
      </w:tblPr>
      <w:tblGrid>
        <w:gridCol w:w="1523"/>
        <w:gridCol w:w="1378"/>
        <w:gridCol w:w="779"/>
      </w:tblGrid>
      <w:tr w:rsidR="005D07A6" w14:paraId="101F8325" w14:textId="77777777">
        <w:tc>
          <w:tcPr>
            <w:tcW w:w="129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B41E629" w14:textId="77777777" w:rsidR="005D07A6" w:rsidRDefault="00F42774">
            <w:pPr>
              <w:pStyle w:val="TA1"/>
              <w:rPr>
                <w:rFonts w:eastAsiaTheme="minorEastAsia"/>
              </w:rPr>
            </w:pPr>
            <w:r>
              <w:t>Agglomérés</w:t>
            </w:r>
          </w:p>
          <w:p w14:paraId="5A279845" w14:textId="77777777" w:rsidR="005D07A6" w:rsidRDefault="00F42774">
            <w:pPr>
              <w:pStyle w:val="TA1"/>
            </w:pPr>
            <w:r>
              <w:t>Tissu acoustique</w:t>
            </w:r>
          </w:p>
          <w:p w14:paraId="3C098621" w14:textId="77777777" w:rsidR="005D07A6" w:rsidRDefault="00F42774">
            <w:pPr>
              <w:pStyle w:val="TA1"/>
              <w:rPr>
                <w:rFonts w:eastAsiaTheme="minorEastAsia"/>
              </w:rPr>
            </w:pPr>
            <w:r>
              <w:t>Centre menuiserie</w:t>
            </w:r>
          </w:p>
        </w:tc>
        <w:tc>
          <w:tcPr>
            <w:tcW w:w="81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46B6B84" w14:textId="77777777" w:rsidR="005D07A6" w:rsidRDefault="00F42774">
            <w:pPr>
              <w:pStyle w:val="TA1"/>
              <w:jc w:val="center"/>
              <w:rPr>
                <w:rFonts w:eastAsiaTheme="minorEastAsia"/>
              </w:rPr>
            </w:pPr>
            <w:r>
              <w:t>1,20 € × 2 130</w:t>
            </w:r>
          </w:p>
          <w:p w14:paraId="38088464" w14:textId="77777777" w:rsidR="005D07A6" w:rsidRDefault="00F42774">
            <w:pPr>
              <w:pStyle w:val="TA1"/>
              <w:jc w:val="center"/>
              <w:rPr>
                <w:rFonts w:eastAsiaTheme="minorEastAsia"/>
              </w:rPr>
            </w:pPr>
            <w:r>
              <w:t>1,66 € × 1 300</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9CBB736" w14:textId="77777777" w:rsidR="005D07A6" w:rsidRDefault="00F42774">
            <w:pPr>
              <w:pStyle w:val="TA1"/>
              <w:jc w:val="right"/>
              <w:rPr>
                <w:rFonts w:eastAsiaTheme="minorEastAsia"/>
              </w:rPr>
            </w:pPr>
            <w:r>
              <w:t>2 556</w:t>
            </w:r>
          </w:p>
          <w:p w14:paraId="57406603" w14:textId="77777777" w:rsidR="005D07A6" w:rsidRDefault="00F42774">
            <w:pPr>
              <w:pStyle w:val="TA1"/>
              <w:jc w:val="right"/>
            </w:pPr>
            <w:r>
              <w:t>2 158</w:t>
            </w:r>
          </w:p>
          <w:p w14:paraId="5C96614C" w14:textId="77777777" w:rsidR="005D07A6" w:rsidRDefault="00F42774">
            <w:pPr>
              <w:pStyle w:val="TA1"/>
              <w:jc w:val="right"/>
              <w:rPr>
                <w:rFonts w:eastAsiaTheme="minorEastAsia"/>
              </w:rPr>
            </w:pPr>
            <w:r>
              <w:t>32 550</w:t>
            </w:r>
          </w:p>
        </w:tc>
      </w:tr>
      <w:tr w:rsidR="005D07A6" w14:paraId="450D2263" w14:textId="77777777">
        <w:tc>
          <w:tcPr>
            <w:tcW w:w="129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3F6D073" w14:textId="77777777" w:rsidR="005D07A6" w:rsidRDefault="00F42774">
            <w:pPr>
              <w:pStyle w:val="TA1"/>
              <w:rPr>
                <w:rFonts w:eastAsiaTheme="minorEastAsia"/>
              </w:rPr>
            </w:pPr>
            <w:r>
              <w:t>Coût de production</w:t>
            </w:r>
          </w:p>
        </w:tc>
        <w:tc>
          <w:tcPr>
            <w:tcW w:w="81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EA7937C" w14:textId="77777777" w:rsidR="005D07A6" w:rsidRDefault="005D07A6"/>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DD1CF5F" w14:textId="77777777" w:rsidR="005D07A6" w:rsidRDefault="00F42774">
            <w:pPr>
              <w:pStyle w:val="TA1"/>
              <w:jc w:val="right"/>
              <w:rPr>
                <w:rFonts w:eastAsiaTheme="minorEastAsia"/>
              </w:rPr>
            </w:pPr>
            <w:r>
              <w:t>37 264</w:t>
            </w:r>
          </w:p>
        </w:tc>
      </w:tr>
    </w:tbl>
    <w:p w14:paraId="23ED169E" w14:textId="77777777" w:rsidR="005D07A6" w:rsidRDefault="00F42774">
      <w:pPr>
        <w:pStyle w:val="CTEspDessous"/>
        <w:rPr>
          <w:rFonts w:eastAsiaTheme="minorEastAsia"/>
        </w:rPr>
      </w:pPr>
      <w:r>
        <w:t>Soit 37 264/2 192 = 17 € par boîtier.</w:t>
      </w:r>
    </w:p>
    <w:p w14:paraId="59897F64" w14:textId="77777777" w:rsidR="005D07A6" w:rsidRDefault="00F42774">
      <w:pPr>
        <w:pStyle w:val="TNiv2"/>
      </w:pPr>
      <w:r>
        <w:t>h) Coût de production des enceintes</w:t>
      </w:r>
    </w:p>
    <w:tbl>
      <w:tblPr>
        <w:tblW w:w="7303" w:type="dxa"/>
        <w:tblInd w:w="1701" w:type="dxa"/>
        <w:tblLook w:val="04A0" w:firstRow="1" w:lastRow="0" w:firstColumn="1" w:lastColumn="0" w:noHBand="0" w:noVBand="1"/>
      </w:tblPr>
      <w:tblGrid>
        <w:gridCol w:w="1946"/>
        <w:gridCol w:w="1381"/>
        <w:gridCol w:w="1205"/>
        <w:gridCol w:w="1566"/>
        <w:gridCol w:w="1205"/>
      </w:tblGrid>
      <w:tr w:rsidR="005D07A6" w14:paraId="075401B9" w14:textId="77777777">
        <w:tc>
          <w:tcPr>
            <w:tcW w:w="157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AE910EC" w14:textId="77777777" w:rsidR="005D07A6" w:rsidRDefault="00F42774">
            <w:pPr>
              <w:pStyle w:val="TA1"/>
              <w:jc w:val="center"/>
              <w:rPr>
                <w:rFonts w:eastAsiaTheme="minorEastAsia"/>
              </w:rPr>
            </w:pPr>
            <w:r>
              <w:rPr>
                <w:b/>
                <w:bCs/>
              </w:rPr>
              <w:t>Éléments</w:t>
            </w:r>
          </w:p>
        </w:tc>
        <w:tc>
          <w:tcPr>
            <w:tcW w:w="975"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A3AEF4C" w14:textId="77777777" w:rsidR="005D07A6" w:rsidRDefault="00F42774">
            <w:pPr>
              <w:pStyle w:val="TA1"/>
              <w:jc w:val="center"/>
              <w:rPr>
                <w:rFonts w:eastAsiaTheme="minorEastAsia"/>
              </w:rPr>
            </w:pPr>
            <w:r>
              <w:rPr>
                <w:b/>
                <w:bCs/>
              </w:rPr>
              <w:t>Enceintes C</w:t>
            </w:r>
          </w:p>
        </w:tc>
        <w:tc>
          <w:tcPr>
            <w:tcW w:w="975"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1FB0DFA" w14:textId="77777777" w:rsidR="005D07A6" w:rsidRDefault="00F42774">
            <w:pPr>
              <w:pStyle w:val="TA1"/>
              <w:jc w:val="center"/>
              <w:rPr>
                <w:rFonts w:eastAsiaTheme="minorEastAsia"/>
              </w:rPr>
            </w:pPr>
            <w:r>
              <w:rPr>
                <w:b/>
                <w:bCs/>
              </w:rPr>
              <w:t>Enceintes HF</w:t>
            </w:r>
          </w:p>
        </w:tc>
      </w:tr>
      <w:tr w:rsidR="005D07A6" w14:paraId="41A38D29" w14:textId="77777777">
        <w:tc>
          <w:tcPr>
            <w:tcW w:w="15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CD2B7C7" w14:textId="77777777" w:rsidR="005D07A6" w:rsidRDefault="00F42774">
            <w:pPr>
              <w:pStyle w:val="TA1"/>
              <w:rPr>
                <w:rFonts w:eastAsiaTheme="minorEastAsia"/>
              </w:rPr>
            </w:pPr>
            <w:r>
              <w:t>Absorbant phonique</w:t>
            </w:r>
          </w:p>
        </w:tc>
        <w:tc>
          <w:tcPr>
            <w:tcW w:w="9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AE10F27" w14:textId="77777777" w:rsidR="005D07A6" w:rsidRDefault="00F42774">
            <w:pPr>
              <w:pStyle w:val="TA1"/>
              <w:jc w:val="right"/>
              <w:rPr>
                <w:rFonts w:eastAsiaTheme="minorEastAsia"/>
              </w:rPr>
            </w:pPr>
            <w:r>
              <w:t>1 € × 300</w:t>
            </w:r>
          </w:p>
        </w:tc>
        <w:tc>
          <w:tcPr>
            <w:tcW w:w="9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70F3E69" w14:textId="77777777" w:rsidR="005D07A6" w:rsidRDefault="00F42774">
            <w:pPr>
              <w:pStyle w:val="TA1"/>
              <w:jc w:val="right"/>
              <w:rPr>
                <w:rFonts w:eastAsiaTheme="minorEastAsia"/>
              </w:rPr>
            </w:pPr>
            <w:r>
              <w:t>300</w:t>
            </w:r>
          </w:p>
        </w:tc>
        <w:tc>
          <w:tcPr>
            <w:tcW w:w="9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EDA03B6" w14:textId="77777777" w:rsidR="005D07A6" w:rsidRDefault="00F42774">
            <w:pPr>
              <w:pStyle w:val="TA1"/>
              <w:jc w:val="right"/>
              <w:rPr>
                <w:rFonts w:eastAsiaTheme="minorEastAsia"/>
              </w:rPr>
            </w:pPr>
            <w:r>
              <w:t>1 € × 500</w:t>
            </w:r>
          </w:p>
        </w:tc>
        <w:tc>
          <w:tcPr>
            <w:tcW w:w="9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CCD0E1E" w14:textId="77777777" w:rsidR="005D07A6" w:rsidRDefault="00F42774">
            <w:pPr>
              <w:pStyle w:val="TA1"/>
              <w:jc w:val="right"/>
              <w:rPr>
                <w:rFonts w:eastAsiaTheme="minorEastAsia"/>
              </w:rPr>
            </w:pPr>
            <w:r>
              <w:t>500,0</w:t>
            </w:r>
          </w:p>
        </w:tc>
      </w:tr>
      <w:tr w:rsidR="005D07A6" w14:paraId="35DC276A" w14:textId="77777777">
        <w:tc>
          <w:tcPr>
            <w:tcW w:w="1575" w:type="dxa"/>
            <w:tcBorders>
              <w:top w:val="nil"/>
              <w:left w:val="single" w:sz="4" w:space="0" w:color="auto"/>
              <w:bottom w:val="nil"/>
              <w:right w:val="single" w:sz="4" w:space="0" w:color="auto"/>
            </w:tcBorders>
            <w:tcMar>
              <w:top w:w="0" w:type="dxa"/>
              <w:left w:w="2" w:type="dxa"/>
              <w:bottom w:w="0" w:type="dxa"/>
              <w:right w:w="2" w:type="dxa"/>
            </w:tcMar>
            <w:hideMark/>
          </w:tcPr>
          <w:p w14:paraId="3A6B25D4" w14:textId="77777777" w:rsidR="005D07A6" w:rsidRDefault="00F42774">
            <w:pPr>
              <w:pStyle w:val="TA1"/>
              <w:rPr>
                <w:rFonts w:eastAsiaTheme="minorEastAsia"/>
              </w:rPr>
            </w:pPr>
            <w:r>
              <w:t>HP aigus</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3B96F7E1" w14:textId="77777777" w:rsidR="005D07A6" w:rsidRDefault="00F42774">
            <w:pPr>
              <w:pStyle w:val="TA1"/>
              <w:jc w:val="right"/>
              <w:rPr>
                <w:rFonts w:eastAsiaTheme="minorEastAsia"/>
              </w:rPr>
            </w:pPr>
            <w:r>
              <w:t>7,50 € × 840</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29B03F9E" w14:textId="77777777" w:rsidR="005D07A6" w:rsidRDefault="00F42774">
            <w:pPr>
              <w:pStyle w:val="TA1"/>
              <w:jc w:val="right"/>
              <w:rPr>
                <w:rFonts w:eastAsiaTheme="minorEastAsia"/>
              </w:rPr>
            </w:pPr>
            <w:r>
              <w:t>6 300</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698551CF" w14:textId="77777777" w:rsidR="005D07A6" w:rsidRDefault="00F42774">
            <w:pPr>
              <w:pStyle w:val="TA1"/>
              <w:jc w:val="right"/>
              <w:rPr>
                <w:rFonts w:eastAsiaTheme="minorEastAsia"/>
              </w:rPr>
            </w:pPr>
            <w:r>
              <w:t>7,50 € × 1 352</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3AA061FE" w14:textId="77777777" w:rsidR="005D07A6" w:rsidRDefault="00F42774">
            <w:pPr>
              <w:pStyle w:val="TA1"/>
              <w:jc w:val="right"/>
              <w:rPr>
                <w:rFonts w:eastAsiaTheme="minorEastAsia"/>
              </w:rPr>
            </w:pPr>
            <w:r>
              <w:t>10 140,0</w:t>
            </w:r>
          </w:p>
        </w:tc>
      </w:tr>
      <w:tr w:rsidR="005D07A6" w14:paraId="287E6AD9" w14:textId="77777777">
        <w:tc>
          <w:tcPr>
            <w:tcW w:w="1575" w:type="dxa"/>
            <w:tcBorders>
              <w:top w:val="nil"/>
              <w:left w:val="single" w:sz="4" w:space="0" w:color="auto"/>
              <w:bottom w:val="nil"/>
              <w:right w:val="single" w:sz="4" w:space="0" w:color="auto"/>
            </w:tcBorders>
            <w:tcMar>
              <w:top w:w="0" w:type="dxa"/>
              <w:left w:w="2" w:type="dxa"/>
              <w:bottom w:w="0" w:type="dxa"/>
              <w:right w:w="2" w:type="dxa"/>
            </w:tcMar>
            <w:hideMark/>
          </w:tcPr>
          <w:p w14:paraId="59E0D4B0" w14:textId="77777777" w:rsidR="005D07A6" w:rsidRDefault="00F42774">
            <w:pPr>
              <w:pStyle w:val="TA1"/>
              <w:rPr>
                <w:rFonts w:eastAsiaTheme="minorEastAsia"/>
              </w:rPr>
            </w:pPr>
            <w:r>
              <w:t>HP graves</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214C5335" w14:textId="77777777" w:rsidR="005D07A6" w:rsidRDefault="00F42774">
            <w:pPr>
              <w:pStyle w:val="TA1"/>
              <w:jc w:val="right"/>
              <w:rPr>
                <w:rFonts w:eastAsiaTheme="minorEastAsia"/>
              </w:rPr>
            </w:pPr>
            <w:r>
              <w:t>17,60 € × 840</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0820E7FB" w14:textId="77777777" w:rsidR="005D07A6" w:rsidRDefault="00F42774">
            <w:pPr>
              <w:pStyle w:val="TA1"/>
              <w:jc w:val="right"/>
              <w:rPr>
                <w:rFonts w:eastAsiaTheme="minorEastAsia"/>
              </w:rPr>
            </w:pPr>
            <w:r>
              <w:t>14 784</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717045D9" w14:textId="77777777" w:rsidR="005D07A6" w:rsidRDefault="00F42774">
            <w:pPr>
              <w:pStyle w:val="TA1"/>
              <w:jc w:val="right"/>
              <w:rPr>
                <w:rFonts w:eastAsiaTheme="minorEastAsia"/>
              </w:rPr>
            </w:pPr>
            <w:r>
              <w:t>17,60 € × 1 352</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7B34827A" w14:textId="77777777" w:rsidR="005D07A6" w:rsidRDefault="00F42774">
            <w:pPr>
              <w:pStyle w:val="TA1"/>
              <w:jc w:val="right"/>
              <w:rPr>
                <w:rFonts w:eastAsiaTheme="minorEastAsia"/>
              </w:rPr>
            </w:pPr>
            <w:r>
              <w:t>23 795,2</w:t>
            </w:r>
          </w:p>
        </w:tc>
      </w:tr>
      <w:tr w:rsidR="005D07A6" w14:paraId="5CA1B96E" w14:textId="77777777">
        <w:tc>
          <w:tcPr>
            <w:tcW w:w="1575" w:type="dxa"/>
            <w:tcBorders>
              <w:top w:val="nil"/>
              <w:left w:val="single" w:sz="4" w:space="0" w:color="auto"/>
              <w:bottom w:val="nil"/>
              <w:right w:val="single" w:sz="4" w:space="0" w:color="auto"/>
            </w:tcBorders>
            <w:tcMar>
              <w:top w:w="0" w:type="dxa"/>
              <w:left w:w="2" w:type="dxa"/>
              <w:bottom w:w="0" w:type="dxa"/>
              <w:right w:w="2" w:type="dxa"/>
            </w:tcMar>
            <w:hideMark/>
          </w:tcPr>
          <w:p w14:paraId="14D5C94C" w14:textId="77777777" w:rsidR="005D07A6" w:rsidRDefault="00F42774">
            <w:pPr>
              <w:pStyle w:val="TA1"/>
              <w:rPr>
                <w:rFonts w:eastAsiaTheme="minorEastAsia"/>
              </w:rPr>
            </w:pPr>
            <w:r>
              <w:t>HP médium</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68982081" w14:textId="77777777" w:rsidR="005D07A6" w:rsidRDefault="005D07A6"/>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2F23E209" w14:textId="77777777" w:rsidR="005D07A6" w:rsidRDefault="005D07A6"/>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0EA33FB3" w14:textId="77777777" w:rsidR="005D07A6" w:rsidRDefault="00F42774">
            <w:pPr>
              <w:pStyle w:val="TA1"/>
              <w:jc w:val="right"/>
              <w:rPr>
                <w:rFonts w:eastAsiaTheme="minorEastAsia"/>
              </w:rPr>
            </w:pPr>
            <w:r>
              <w:t>13,85 € × 1 352</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27CF73FF" w14:textId="77777777" w:rsidR="005D07A6" w:rsidRDefault="00F42774">
            <w:pPr>
              <w:pStyle w:val="TA1"/>
              <w:jc w:val="right"/>
              <w:rPr>
                <w:rFonts w:eastAsiaTheme="minorEastAsia"/>
              </w:rPr>
            </w:pPr>
            <w:r>
              <w:t>18 725,2</w:t>
            </w:r>
          </w:p>
        </w:tc>
      </w:tr>
      <w:tr w:rsidR="005D07A6" w14:paraId="03DB9F1E" w14:textId="77777777">
        <w:tc>
          <w:tcPr>
            <w:tcW w:w="1575" w:type="dxa"/>
            <w:tcBorders>
              <w:top w:val="nil"/>
              <w:left w:val="single" w:sz="4" w:space="0" w:color="auto"/>
              <w:bottom w:val="nil"/>
              <w:right w:val="single" w:sz="4" w:space="0" w:color="auto"/>
            </w:tcBorders>
            <w:tcMar>
              <w:top w:w="0" w:type="dxa"/>
              <w:left w:w="2" w:type="dxa"/>
              <w:bottom w:w="0" w:type="dxa"/>
              <w:right w:w="2" w:type="dxa"/>
            </w:tcMar>
            <w:hideMark/>
          </w:tcPr>
          <w:p w14:paraId="435388DA" w14:textId="77777777" w:rsidR="005D07A6" w:rsidRDefault="00F42774">
            <w:pPr>
              <w:pStyle w:val="TA1"/>
              <w:rPr>
                <w:rFonts w:eastAsiaTheme="minorEastAsia"/>
              </w:rPr>
            </w:pPr>
            <w:r>
              <w:t>Boîtiers</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76B5EF81" w14:textId="77777777" w:rsidR="005D07A6" w:rsidRDefault="00F42774">
            <w:pPr>
              <w:pStyle w:val="TA1"/>
              <w:jc w:val="right"/>
              <w:rPr>
                <w:rFonts w:eastAsiaTheme="minorEastAsia"/>
              </w:rPr>
            </w:pPr>
            <w:r>
              <w:t>17 € × 840</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3CB21FAD" w14:textId="77777777" w:rsidR="005D07A6" w:rsidRDefault="00F42774">
            <w:pPr>
              <w:pStyle w:val="TA1"/>
              <w:jc w:val="right"/>
              <w:rPr>
                <w:rFonts w:eastAsiaTheme="minorEastAsia"/>
              </w:rPr>
            </w:pPr>
            <w:r>
              <w:t>14 280</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1875F469" w14:textId="77777777" w:rsidR="005D07A6" w:rsidRDefault="00F42774">
            <w:pPr>
              <w:pStyle w:val="TA1"/>
              <w:jc w:val="right"/>
              <w:rPr>
                <w:rFonts w:eastAsiaTheme="minorEastAsia"/>
              </w:rPr>
            </w:pPr>
            <w:r>
              <w:t>17 € × 1 352</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002E1B58" w14:textId="77777777" w:rsidR="005D07A6" w:rsidRDefault="00F42774">
            <w:pPr>
              <w:pStyle w:val="TA1"/>
              <w:jc w:val="right"/>
              <w:rPr>
                <w:rFonts w:eastAsiaTheme="minorEastAsia"/>
              </w:rPr>
            </w:pPr>
            <w:r>
              <w:t>22 984,0</w:t>
            </w:r>
          </w:p>
        </w:tc>
      </w:tr>
      <w:tr w:rsidR="005D07A6" w14:paraId="45E63BED" w14:textId="77777777">
        <w:tc>
          <w:tcPr>
            <w:tcW w:w="1575" w:type="dxa"/>
            <w:tcBorders>
              <w:top w:val="nil"/>
              <w:left w:val="single" w:sz="4" w:space="0" w:color="auto"/>
              <w:bottom w:val="nil"/>
              <w:right w:val="single" w:sz="4" w:space="0" w:color="auto"/>
            </w:tcBorders>
            <w:tcMar>
              <w:top w:w="0" w:type="dxa"/>
              <w:left w:w="2" w:type="dxa"/>
              <w:bottom w:w="0" w:type="dxa"/>
              <w:right w:w="2" w:type="dxa"/>
            </w:tcMar>
            <w:hideMark/>
          </w:tcPr>
          <w:p w14:paraId="1B73F275" w14:textId="77777777" w:rsidR="005D07A6" w:rsidRDefault="00F42774">
            <w:pPr>
              <w:pStyle w:val="TA1"/>
              <w:rPr>
                <w:rFonts w:eastAsiaTheme="minorEastAsia"/>
              </w:rPr>
            </w:pPr>
            <w:r>
              <w:t>Filtres A</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4A2928F6" w14:textId="77777777" w:rsidR="005D07A6" w:rsidRDefault="00F42774">
            <w:pPr>
              <w:pStyle w:val="TA1"/>
              <w:jc w:val="right"/>
              <w:rPr>
                <w:rFonts w:eastAsiaTheme="minorEastAsia"/>
              </w:rPr>
            </w:pPr>
            <w:r>
              <w:t>8,20 € × 840</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281550B4" w14:textId="77777777" w:rsidR="005D07A6" w:rsidRDefault="00F42774">
            <w:pPr>
              <w:pStyle w:val="TA1"/>
              <w:jc w:val="right"/>
              <w:rPr>
                <w:rFonts w:eastAsiaTheme="minorEastAsia"/>
              </w:rPr>
            </w:pPr>
            <w:r>
              <w:t>6 888</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54C5D7C4" w14:textId="77777777" w:rsidR="005D07A6" w:rsidRDefault="005D07A6"/>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44F353E4" w14:textId="77777777" w:rsidR="005D07A6" w:rsidRDefault="005D07A6"/>
        </w:tc>
      </w:tr>
      <w:tr w:rsidR="005D07A6" w14:paraId="4B361D76" w14:textId="77777777">
        <w:tc>
          <w:tcPr>
            <w:tcW w:w="1575" w:type="dxa"/>
            <w:tcBorders>
              <w:top w:val="nil"/>
              <w:left w:val="single" w:sz="4" w:space="0" w:color="auto"/>
              <w:bottom w:val="nil"/>
              <w:right w:val="single" w:sz="4" w:space="0" w:color="auto"/>
            </w:tcBorders>
            <w:tcMar>
              <w:top w:w="0" w:type="dxa"/>
              <w:left w:w="2" w:type="dxa"/>
              <w:bottom w:w="0" w:type="dxa"/>
              <w:right w:w="2" w:type="dxa"/>
            </w:tcMar>
            <w:hideMark/>
          </w:tcPr>
          <w:p w14:paraId="2C95D4BB" w14:textId="77777777" w:rsidR="005D07A6" w:rsidRDefault="00F42774">
            <w:pPr>
              <w:pStyle w:val="TA1"/>
              <w:rPr>
                <w:rFonts w:eastAsiaTheme="minorEastAsia"/>
              </w:rPr>
            </w:pPr>
            <w:r>
              <w:t>Filtres B</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0B0ED76A" w14:textId="77777777" w:rsidR="005D07A6" w:rsidRDefault="005D07A6"/>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536AA9F0" w14:textId="77777777" w:rsidR="005D07A6" w:rsidRDefault="005D07A6"/>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3E065160" w14:textId="77777777" w:rsidR="005D07A6" w:rsidRDefault="00F42774">
            <w:pPr>
              <w:pStyle w:val="TA1"/>
              <w:jc w:val="right"/>
              <w:rPr>
                <w:rFonts w:eastAsiaTheme="minorEastAsia"/>
              </w:rPr>
            </w:pPr>
            <w:r>
              <w:t>11,70 € × 1 352</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136CAD04" w14:textId="77777777" w:rsidR="005D07A6" w:rsidRDefault="00F42774">
            <w:pPr>
              <w:pStyle w:val="TA1"/>
              <w:jc w:val="right"/>
              <w:rPr>
                <w:rFonts w:eastAsiaTheme="minorEastAsia"/>
              </w:rPr>
            </w:pPr>
            <w:r>
              <w:t>15 818,4</w:t>
            </w:r>
          </w:p>
        </w:tc>
      </w:tr>
      <w:tr w:rsidR="005D07A6" w14:paraId="0B6B4B0A" w14:textId="77777777">
        <w:tc>
          <w:tcPr>
            <w:tcW w:w="1575" w:type="dxa"/>
            <w:tcBorders>
              <w:top w:val="nil"/>
              <w:left w:val="single" w:sz="4" w:space="0" w:color="auto"/>
              <w:bottom w:val="nil"/>
              <w:right w:val="single" w:sz="4" w:space="0" w:color="auto"/>
            </w:tcBorders>
            <w:tcMar>
              <w:top w:w="0" w:type="dxa"/>
              <w:left w:w="2" w:type="dxa"/>
              <w:bottom w:w="0" w:type="dxa"/>
              <w:right w:w="2" w:type="dxa"/>
            </w:tcMar>
            <w:hideMark/>
          </w:tcPr>
          <w:p w14:paraId="76151BBE" w14:textId="77777777" w:rsidR="005D07A6" w:rsidRDefault="00F42774">
            <w:pPr>
              <w:pStyle w:val="TA1"/>
              <w:rPr>
                <w:rFonts w:eastAsiaTheme="minorEastAsia"/>
              </w:rPr>
            </w:pPr>
            <w:r>
              <w:t>Centre montage</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22D64D19" w14:textId="77777777" w:rsidR="005D07A6" w:rsidRDefault="00F42774">
            <w:pPr>
              <w:pStyle w:val="TA1"/>
              <w:jc w:val="right"/>
              <w:rPr>
                <w:rFonts w:eastAsiaTheme="minorEastAsia"/>
              </w:rPr>
            </w:pPr>
            <w:r>
              <w:t>20 € × 630</w:t>
            </w:r>
          </w:p>
        </w:tc>
        <w:tc>
          <w:tcPr>
            <w:tcW w:w="9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2588257" w14:textId="77777777" w:rsidR="005D07A6" w:rsidRDefault="00F42774">
            <w:pPr>
              <w:pStyle w:val="TA1"/>
              <w:jc w:val="right"/>
              <w:rPr>
                <w:rFonts w:eastAsiaTheme="minorEastAsia"/>
              </w:rPr>
            </w:pPr>
            <w:r>
              <w:t>12 600</w:t>
            </w:r>
          </w:p>
        </w:tc>
        <w:tc>
          <w:tcPr>
            <w:tcW w:w="975" w:type="dxa"/>
            <w:tcBorders>
              <w:top w:val="nil"/>
              <w:left w:val="single" w:sz="4" w:space="0" w:color="auto"/>
              <w:bottom w:val="nil"/>
              <w:right w:val="single" w:sz="4" w:space="0" w:color="auto"/>
            </w:tcBorders>
            <w:tcMar>
              <w:top w:w="0" w:type="dxa"/>
              <w:left w:w="2" w:type="dxa"/>
              <w:bottom w:w="0" w:type="dxa"/>
              <w:right w:w="2" w:type="dxa"/>
            </w:tcMar>
            <w:hideMark/>
          </w:tcPr>
          <w:p w14:paraId="688CF74E" w14:textId="77777777" w:rsidR="005D07A6" w:rsidRDefault="00F42774">
            <w:pPr>
              <w:pStyle w:val="TA1"/>
              <w:jc w:val="right"/>
              <w:rPr>
                <w:rFonts w:eastAsiaTheme="minorEastAsia"/>
              </w:rPr>
            </w:pPr>
            <w:r>
              <w:t>20 € × 1 352</w:t>
            </w:r>
          </w:p>
        </w:tc>
        <w:tc>
          <w:tcPr>
            <w:tcW w:w="9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2F851EB" w14:textId="77777777" w:rsidR="005D07A6" w:rsidRDefault="00F42774">
            <w:pPr>
              <w:pStyle w:val="TA1"/>
              <w:jc w:val="right"/>
              <w:rPr>
                <w:rFonts w:eastAsiaTheme="minorEastAsia"/>
              </w:rPr>
            </w:pPr>
            <w:r>
              <w:t>27 040,0</w:t>
            </w:r>
          </w:p>
        </w:tc>
      </w:tr>
      <w:tr w:rsidR="005D07A6" w14:paraId="3C05D77A" w14:textId="77777777">
        <w:tc>
          <w:tcPr>
            <w:tcW w:w="15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E2A679F" w14:textId="77777777" w:rsidR="005D07A6" w:rsidRDefault="00F42774">
            <w:pPr>
              <w:pStyle w:val="TA1"/>
              <w:rPr>
                <w:rFonts w:eastAsiaTheme="minorEastAsia"/>
              </w:rPr>
            </w:pPr>
            <w:r>
              <w:t>Coût de production</w:t>
            </w:r>
          </w:p>
        </w:tc>
        <w:tc>
          <w:tcPr>
            <w:tcW w:w="9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BD616F2" w14:textId="77777777" w:rsidR="005D07A6" w:rsidRDefault="005D07A6"/>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F3B047D" w14:textId="77777777" w:rsidR="005D07A6" w:rsidRDefault="00F42774">
            <w:pPr>
              <w:pStyle w:val="TA1"/>
              <w:jc w:val="right"/>
              <w:rPr>
                <w:rFonts w:eastAsiaTheme="minorEastAsia"/>
              </w:rPr>
            </w:pPr>
            <w:r>
              <w:t>55 152</w:t>
            </w:r>
          </w:p>
        </w:tc>
        <w:tc>
          <w:tcPr>
            <w:tcW w:w="9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62804F1" w14:textId="77777777" w:rsidR="005D07A6" w:rsidRDefault="005D07A6"/>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8526552" w14:textId="77777777" w:rsidR="005D07A6" w:rsidRDefault="00F42774">
            <w:pPr>
              <w:pStyle w:val="TA1"/>
              <w:jc w:val="right"/>
              <w:rPr>
                <w:rFonts w:eastAsiaTheme="minorEastAsia"/>
              </w:rPr>
            </w:pPr>
            <w:r>
              <w:t>119 002,8</w:t>
            </w:r>
          </w:p>
        </w:tc>
      </w:tr>
    </w:tbl>
    <w:p w14:paraId="4728313F" w14:textId="77777777" w:rsidR="005D07A6" w:rsidRDefault="00F42774">
      <w:pPr>
        <w:pStyle w:val="TNiv2"/>
        <w:rPr>
          <w:rFonts w:eastAsiaTheme="minorEastAsia"/>
        </w:rPr>
      </w:pPr>
      <w:r>
        <w:t>i) Fiches de stock des enceintes</w:t>
      </w:r>
    </w:p>
    <w:tbl>
      <w:tblPr>
        <w:tblW w:w="7382" w:type="dxa"/>
        <w:tblInd w:w="1701" w:type="dxa"/>
        <w:tblLook w:val="04A0" w:firstRow="1" w:lastRow="0" w:firstColumn="1" w:lastColumn="0" w:noHBand="0" w:noVBand="1"/>
      </w:tblPr>
      <w:tblGrid>
        <w:gridCol w:w="2044"/>
        <w:gridCol w:w="857"/>
        <w:gridCol w:w="857"/>
        <w:gridCol w:w="857"/>
        <w:gridCol w:w="857"/>
        <w:gridCol w:w="857"/>
        <w:gridCol w:w="1053"/>
      </w:tblGrid>
      <w:tr w:rsidR="005D07A6" w14:paraId="5C89B83D" w14:textId="77777777">
        <w:tc>
          <w:tcPr>
            <w:tcW w:w="1575" w:type="dxa"/>
            <w:tcBorders>
              <w:top w:val="nil"/>
              <w:left w:val="nil"/>
              <w:bottom w:val="single" w:sz="4" w:space="0" w:color="auto"/>
              <w:right w:val="single" w:sz="4" w:space="0" w:color="auto"/>
            </w:tcBorders>
            <w:tcMar>
              <w:top w:w="0" w:type="dxa"/>
              <w:left w:w="2" w:type="dxa"/>
              <w:bottom w:w="0" w:type="dxa"/>
              <w:right w:w="2" w:type="dxa"/>
            </w:tcMar>
            <w:hideMark/>
          </w:tcPr>
          <w:p w14:paraId="6BF61420" w14:textId="77777777" w:rsidR="005D07A6" w:rsidRDefault="005D07A6"/>
        </w:tc>
        <w:tc>
          <w:tcPr>
            <w:tcW w:w="660"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A6F1273" w14:textId="77777777" w:rsidR="005D07A6" w:rsidRDefault="00F42774">
            <w:pPr>
              <w:pStyle w:val="TA1"/>
              <w:jc w:val="center"/>
              <w:rPr>
                <w:rFonts w:eastAsiaTheme="minorEastAsia"/>
              </w:rPr>
            </w:pPr>
            <w:r>
              <w:rPr>
                <w:b/>
                <w:bCs/>
              </w:rPr>
              <w:t>Enceintes C</w:t>
            </w:r>
          </w:p>
        </w:tc>
        <w:tc>
          <w:tcPr>
            <w:tcW w:w="660"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223A54F" w14:textId="77777777" w:rsidR="005D07A6" w:rsidRDefault="00F42774">
            <w:pPr>
              <w:pStyle w:val="TA1"/>
              <w:jc w:val="center"/>
              <w:rPr>
                <w:rFonts w:eastAsiaTheme="minorEastAsia"/>
              </w:rPr>
            </w:pPr>
            <w:r>
              <w:rPr>
                <w:b/>
                <w:bCs/>
              </w:rPr>
              <w:t>Enceintes HF</w:t>
            </w:r>
          </w:p>
        </w:tc>
      </w:tr>
      <w:tr w:rsidR="005D07A6" w14:paraId="6831A557" w14:textId="77777777">
        <w:tc>
          <w:tcPr>
            <w:tcW w:w="15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A6DF5C5" w14:textId="77777777" w:rsidR="005D07A6" w:rsidRDefault="00F42774">
            <w:pPr>
              <w:pStyle w:val="TA1"/>
              <w:rPr>
                <w:rFonts w:eastAsiaTheme="minorEastAsia"/>
              </w:rPr>
            </w:pPr>
            <w:r>
              <w:t>Stock initial</w:t>
            </w:r>
          </w:p>
          <w:p w14:paraId="577A58D6" w14:textId="77777777" w:rsidR="005D07A6" w:rsidRDefault="00F42774">
            <w:pPr>
              <w:pStyle w:val="TA1"/>
              <w:rPr>
                <w:rFonts w:eastAsiaTheme="minorEastAsia"/>
              </w:rPr>
            </w:pPr>
            <w:r>
              <w:t>Entrées</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BAEF485" w14:textId="77777777" w:rsidR="005D07A6" w:rsidRDefault="00F42774">
            <w:pPr>
              <w:pStyle w:val="TA1"/>
              <w:jc w:val="right"/>
              <w:rPr>
                <w:rFonts w:eastAsiaTheme="minorEastAsia"/>
              </w:rPr>
            </w:pPr>
            <w:r>
              <w:t>60</w:t>
            </w:r>
          </w:p>
          <w:p w14:paraId="51E73F93" w14:textId="77777777" w:rsidR="005D07A6" w:rsidRDefault="00F42774">
            <w:pPr>
              <w:pStyle w:val="TA1"/>
              <w:jc w:val="right"/>
              <w:rPr>
                <w:rFonts w:eastAsiaTheme="minorEastAsia"/>
              </w:rPr>
            </w:pPr>
            <w:r>
              <w:t>840</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F7EB927" w14:textId="77777777" w:rsidR="005D07A6" w:rsidRDefault="005D07A6"/>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B91E356" w14:textId="77777777" w:rsidR="005D07A6" w:rsidRDefault="00F42774">
            <w:pPr>
              <w:pStyle w:val="TA1"/>
              <w:jc w:val="right"/>
              <w:rPr>
                <w:rFonts w:eastAsiaTheme="minorEastAsia"/>
              </w:rPr>
            </w:pPr>
            <w:r>
              <w:t>3 978</w:t>
            </w:r>
          </w:p>
          <w:p w14:paraId="16CB2FBD" w14:textId="77777777" w:rsidR="005D07A6" w:rsidRDefault="00F42774">
            <w:pPr>
              <w:pStyle w:val="TA1"/>
              <w:jc w:val="right"/>
              <w:rPr>
                <w:rFonts w:eastAsiaTheme="minorEastAsia"/>
              </w:rPr>
            </w:pPr>
            <w:r>
              <w:t>55 152</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BF322CE" w14:textId="77777777" w:rsidR="005D07A6" w:rsidRDefault="00F42774">
            <w:pPr>
              <w:pStyle w:val="TA1"/>
              <w:jc w:val="right"/>
              <w:rPr>
                <w:rFonts w:eastAsiaTheme="minorEastAsia"/>
              </w:rPr>
            </w:pPr>
            <w:r>
              <w:t>48</w:t>
            </w:r>
          </w:p>
          <w:p w14:paraId="098AF4B5" w14:textId="77777777" w:rsidR="005D07A6" w:rsidRDefault="00F42774">
            <w:pPr>
              <w:pStyle w:val="TA1"/>
              <w:jc w:val="right"/>
              <w:rPr>
                <w:rFonts w:eastAsiaTheme="minorEastAsia"/>
              </w:rPr>
            </w:pPr>
            <w:r>
              <w:t>1 352</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2DA7C40" w14:textId="77777777" w:rsidR="005D07A6" w:rsidRDefault="005D07A6"/>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2DD7B72" w14:textId="77777777" w:rsidR="005D07A6" w:rsidRDefault="00F42774">
            <w:pPr>
              <w:pStyle w:val="TA1"/>
              <w:jc w:val="right"/>
              <w:rPr>
                <w:rFonts w:eastAsiaTheme="minorEastAsia"/>
              </w:rPr>
            </w:pPr>
            <w:r>
              <w:t>4 197,2</w:t>
            </w:r>
          </w:p>
          <w:p w14:paraId="05D56FE0" w14:textId="77777777" w:rsidR="005D07A6" w:rsidRDefault="00F42774">
            <w:pPr>
              <w:pStyle w:val="TA1"/>
              <w:jc w:val="right"/>
              <w:rPr>
                <w:rFonts w:eastAsiaTheme="minorEastAsia"/>
              </w:rPr>
            </w:pPr>
            <w:r>
              <w:t>119 002,8</w:t>
            </w:r>
          </w:p>
        </w:tc>
      </w:tr>
      <w:tr w:rsidR="005D07A6" w14:paraId="3B1354F8" w14:textId="77777777">
        <w:tc>
          <w:tcPr>
            <w:tcW w:w="1575" w:type="dxa"/>
            <w:tcBorders>
              <w:top w:val="nil"/>
              <w:left w:val="single" w:sz="4" w:space="0" w:color="auto"/>
              <w:bottom w:val="nil"/>
              <w:right w:val="single" w:sz="4" w:space="0" w:color="auto"/>
            </w:tcBorders>
            <w:tcMar>
              <w:top w:w="0" w:type="dxa"/>
              <w:left w:w="2" w:type="dxa"/>
              <w:bottom w:w="0" w:type="dxa"/>
              <w:right w:w="2" w:type="dxa"/>
            </w:tcMar>
            <w:hideMark/>
          </w:tcPr>
          <w:p w14:paraId="53A0D795" w14:textId="77777777" w:rsidR="005D07A6" w:rsidRDefault="00F42774">
            <w:pPr>
              <w:pStyle w:val="TA1"/>
              <w:rPr>
                <w:rFonts w:eastAsiaTheme="minorEastAsia"/>
              </w:rPr>
            </w:pPr>
            <w:r>
              <w:t>Total</w:t>
            </w:r>
          </w:p>
          <w:p w14:paraId="5C7B49A4" w14:textId="77777777" w:rsidR="005D07A6" w:rsidRDefault="00F42774">
            <w:pPr>
              <w:pStyle w:val="TA1"/>
              <w:rPr>
                <w:rFonts w:eastAsiaTheme="minorEastAsia"/>
              </w:rPr>
            </w:pPr>
            <w:r>
              <w:t>Sorties</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0C5029B" w14:textId="77777777" w:rsidR="005D07A6" w:rsidRDefault="00F42774">
            <w:pPr>
              <w:pStyle w:val="TA1"/>
              <w:jc w:val="right"/>
              <w:rPr>
                <w:rFonts w:eastAsiaTheme="minorEastAsia"/>
              </w:rPr>
            </w:pPr>
            <w:r>
              <w:t>900</w:t>
            </w:r>
          </w:p>
          <w:p w14:paraId="2101A89C" w14:textId="77777777" w:rsidR="005D07A6" w:rsidRDefault="00F42774">
            <w:pPr>
              <w:pStyle w:val="TA1"/>
              <w:jc w:val="right"/>
              <w:rPr>
                <w:rFonts w:eastAsiaTheme="minorEastAsia"/>
              </w:rPr>
            </w:pPr>
            <w:r>
              <w:t>800</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7AE3A45" w14:textId="77777777" w:rsidR="005D07A6" w:rsidRDefault="00F42774">
            <w:pPr>
              <w:pStyle w:val="TA1"/>
              <w:jc w:val="center"/>
              <w:rPr>
                <w:rFonts w:eastAsiaTheme="minorEastAsia"/>
              </w:rPr>
            </w:pPr>
            <w:r>
              <w:t>65,7</w:t>
            </w:r>
          </w:p>
          <w:p w14:paraId="51FE46FD" w14:textId="77777777" w:rsidR="005D07A6" w:rsidRDefault="00F42774">
            <w:pPr>
              <w:pStyle w:val="TA1"/>
              <w:jc w:val="center"/>
              <w:rPr>
                <w:rFonts w:eastAsiaTheme="minorEastAsia"/>
              </w:rPr>
            </w:pPr>
            <w:r>
              <w:t>65,7</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2F638DF" w14:textId="77777777" w:rsidR="005D07A6" w:rsidRDefault="00F42774">
            <w:pPr>
              <w:pStyle w:val="TA1"/>
              <w:jc w:val="right"/>
              <w:rPr>
                <w:rFonts w:eastAsiaTheme="minorEastAsia"/>
              </w:rPr>
            </w:pPr>
            <w:r>
              <w:t>59 130</w:t>
            </w:r>
          </w:p>
          <w:p w14:paraId="5AF07822" w14:textId="77777777" w:rsidR="005D07A6" w:rsidRDefault="00F42774">
            <w:pPr>
              <w:pStyle w:val="TA1"/>
              <w:jc w:val="right"/>
              <w:rPr>
                <w:rFonts w:eastAsiaTheme="minorEastAsia"/>
              </w:rPr>
            </w:pPr>
            <w:r>
              <w:t>52 560</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63DA83C" w14:textId="77777777" w:rsidR="005D07A6" w:rsidRDefault="00F42774">
            <w:pPr>
              <w:pStyle w:val="TA1"/>
              <w:jc w:val="right"/>
              <w:rPr>
                <w:rFonts w:eastAsiaTheme="minorEastAsia"/>
              </w:rPr>
            </w:pPr>
            <w:r>
              <w:t>1 400</w:t>
            </w:r>
          </w:p>
          <w:p w14:paraId="166BF79E" w14:textId="77777777" w:rsidR="005D07A6" w:rsidRDefault="00F42774">
            <w:pPr>
              <w:pStyle w:val="TA1"/>
              <w:jc w:val="right"/>
              <w:rPr>
                <w:rFonts w:eastAsiaTheme="minorEastAsia"/>
              </w:rPr>
            </w:pPr>
            <w:r>
              <w:t>1 390</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7071881" w14:textId="77777777" w:rsidR="005D07A6" w:rsidRDefault="00F42774">
            <w:pPr>
              <w:pStyle w:val="TA1"/>
              <w:jc w:val="center"/>
              <w:rPr>
                <w:rFonts w:eastAsiaTheme="minorEastAsia"/>
              </w:rPr>
            </w:pPr>
            <w:r>
              <w:t>88</w:t>
            </w:r>
          </w:p>
          <w:p w14:paraId="7643D7DD" w14:textId="77777777" w:rsidR="005D07A6" w:rsidRDefault="00F42774">
            <w:pPr>
              <w:pStyle w:val="TA1"/>
              <w:jc w:val="center"/>
              <w:rPr>
                <w:rFonts w:eastAsiaTheme="minorEastAsia"/>
              </w:rPr>
            </w:pPr>
            <w:r>
              <w:t>88</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3BD32AC" w14:textId="77777777" w:rsidR="005D07A6" w:rsidRDefault="00F42774">
            <w:pPr>
              <w:pStyle w:val="TA1"/>
              <w:jc w:val="right"/>
              <w:rPr>
                <w:rFonts w:eastAsiaTheme="minorEastAsia"/>
              </w:rPr>
            </w:pPr>
            <w:r>
              <w:t>123 200,0</w:t>
            </w:r>
          </w:p>
          <w:p w14:paraId="2C4DADDA" w14:textId="77777777" w:rsidR="005D07A6" w:rsidRDefault="00F42774">
            <w:pPr>
              <w:pStyle w:val="TA1"/>
              <w:jc w:val="right"/>
              <w:rPr>
                <w:rFonts w:eastAsiaTheme="minorEastAsia"/>
              </w:rPr>
            </w:pPr>
            <w:r>
              <w:t>122 320,0</w:t>
            </w:r>
          </w:p>
        </w:tc>
      </w:tr>
      <w:tr w:rsidR="005D07A6" w14:paraId="13F1F774" w14:textId="77777777">
        <w:tc>
          <w:tcPr>
            <w:tcW w:w="1575" w:type="dxa"/>
            <w:tcBorders>
              <w:top w:val="nil"/>
              <w:left w:val="single" w:sz="4" w:space="0" w:color="auto"/>
              <w:bottom w:val="nil"/>
              <w:right w:val="single" w:sz="4" w:space="0" w:color="auto"/>
            </w:tcBorders>
            <w:tcMar>
              <w:top w:w="0" w:type="dxa"/>
              <w:left w:w="2" w:type="dxa"/>
              <w:bottom w:w="0" w:type="dxa"/>
              <w:right w:w="2" w:type="dxa"/>
            </w:tcMar>
            <w:hideMark/>
          </w:tcPr>
          <w:p w14:paraId="6FAF8096" w14:textId="77777777" w:rsidR="005D07A6" w:rsidRDefault="00F42774">
            <w:pPr>
              <w:pStyle w:val="TA1"/>
              <w:rPr>
                <w:rFonts w:eastAsiaTheme="minorEastAsia"/>
              </w:rPr>
            </w:pPr>
            <w:r>
              <w:t>SF théorique</w:t>
            </w:r>
          </w:p>
          <w:p w14:paraId="3AE4FA2C" w14:textId="77777777" w:rsidR="005D07A6" w:rsidRDefault="00F42774">
            <w:pPr>
              <w:pStyle w:val="TA1"/>
              <w:rPr>
                <w:rFonts w:eastAsiaTheme="minorEastAsia"/>
              </w:rPr>
            </w:pPr>
            <w:r>
              <w:t>Dif. d’inventaire</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D5E313D" w14:textId="77777777" w:rsidR="005D07A6" w:rsidRDefault="00F42774">
            <w:pPr>
              <w:pStyle w:val="TA1"/>
              <w:jc w:val="right"/>
              <w:rPr>
                <w:rFonts w:eastAsiaTheme="minorEastAsia"/>
              </w:rPr>
            </w:pPr>
            <w:r>
              <w:t>100</w:t>
            </w:r>
          </w:p>
          <w:p w14:paraId="2193E766" w14:textId="77777777" w:rsidR="005D07A6" w:rsidRDefault="00F42774">
            <w:pPr>
              <w:pStyle w:val="TA1"/>
              <w:jc w:val="right"/>
              <w:rPr>
                <w:rFonts w:eastAsiaTheme="minorEastAsia"/>
              </w:rPr>
            </w:pPr>
            <w:r>
              <w:t>–</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220FFCF" w14:textId="77777777" w:rsidR="005D07A6" w:rsidRDefault="005D07A6"/>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702742E" w14:textId="77777777" w:rsidR="005D07A6" w:rsidRDefault="00F42774">
            <w:pPr>
              <w:pStyle w:val="TA1"/>
              <w:jc w:val="right"/>
              <w:rPr>
                <w:rFonts w:eastAsiaTheme="minorEastAsia"/>
              </w:rPr>
            </w:pPr>
            <w:r>
              <w:t>6 570</w:t>
            </w:r>
          </w:p>
          <w:p w14:paraId="042FC33C" w14:textId="77777777" w:rsidR="005D07A6" w:rsidRDefault="00F42774">
            <w:pPr>
              <w:pStyle w:val="TA1"/>
              <w:jc w:val="right"/>
              <w:rPr>
                <w:rFonts w:eastAsiaTheme="minorEastAsia"/>
              </w:rPr>
            </w:pPr>
            <w:r>
              <w:t>–</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76182F4" w14:textId="77777777" w:rsidR="005D07A6" w:rsidRDefault="00F42774">
            <w:pPr>
              <w:pStyle w:val="TA1"/>
              <w:jc w:val="right"/>
              <w:rPr>
                <w:rFonts w:eastAsiaTheme="minorEastAsia"/>
              </w:rPr>
            </w:pPr>
            <w:r>
              <w:t>10</w:t>
            </w:r>
          </w:p>
          <w:p w14:paraId="32E9A049" w14:textId="77777777" w:rsidR="005D07A6" w:rsidRDefault="00F42774">
            <w:pPr>
              <w:pStyle w:val="TA1"/>
              <w:jc w:val="right"/>
              <w:rPr>
                <w:rFonts w:eastAsiaTheme="minorEastAsia"/>
              </w:rPr>
            </w:pPr>
            <w:r>
              <w:t>– 2</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7B6DB99" w14:textId="77777777" w:rsidR="005D07A6" w:rsidRDefault="00F42774">
            <w:pPr>
              <w:pStyle w:val="TA1"/>
              <w:jc w:val="center"/>
              <w:rPr>
                <w:rFonts w:eastAsiaTheme="minorEastAsia"/>
              </w:rPr>
            </w:pPr>
            <w:r>
              <w:t>88</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D135692" w14:textId="77777777" w:rsidR="005D07A6" w:rsidRDefault="00F42774">
            <w:pPr>
              <w:pStyle w:val="TA1"/>
              <w:jc w:val="right"/>
              <w:rPr>
                <w:rFonts w:eastAsiaTheme="minorEastAsia"/>
              </w:rPr>
            </w:pPr>
            <w:r>
              <w:t>880,0</w:t>
            </w:r>
          </w:p>
          <w:p w14:paraId="79ECFEA5" w14:textId="77777777" w:rsidR="005D07A6" w:rsidRDefault="00F42774">
            <w:pPr>
              <w:pStyle w:val="TA1"/>
              <w:jc w:val="right"/>
              <w:rPr>
                <w:rFonts w:eastAsiaTheme="minorEastAsia"/>
              </w:rPr>
            </w:pPr>
            <w:r>
              <w:t>– 176,0</w:t>
            </w:r>
          </w:p>
        </w:tc>
      </w:tr>
      <w:tr w:rsidR="005D07A6" w14:paraId="7230A011" w14:textId="77777777">
        <w:tc>
          <w:tcPr>
            <w:tcW w:w="15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4AEEC31" w14:textId="77777777" w:rsidR="005D07A6" w:rsidRDefault="00F42774">
            <w:pPr>
              <w:pStyle w:val="TA1"/>
              <w:rPr>
                <w:rFonts w:eastAsiaTheme="minorEastAsia"/>
              </w:rPr>
            </w:pPr>
            <w:r>
              <w:t>SF réel</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5A7DF7B" w14:textId="77777777" w:rsidR="005D07A6" w:rsidRDefault="00F42774">
            <w:pPr>
              <w:pStyle w:val="TA1"/>
              <w:jc w:val="right"/>
              <w:rPr>
                <w:rFonts w:eastAsiaTheme="minorEastAsia"/>
              </w:rPr>
            </w:pPr>
            <w:r>
              <w:t>100</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43536B2" w14:textId="77777777" w:rsidR="005D07A6" w:rsidRDefault="005D07A6"/>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880094E" w14:textId="77777777" w:rsidR="005D07A6" w:rsidRDefault="00F42774">
            <w:pPr>
              <w:pStyle w:val="TA1"/>
              <w:jc w:val="right"/>
              <w:rPr>
                <w:rFonts w:eastAsiaTheme="minorEastAsia"/>
              </w:rPr>
            </w:pPr>
            <w:r>
              <w:t>6 570</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2F1C97B" w14:textId="77777777" w:rsidR="005D07A6" w:rsidRDefault="00F42774">
            <w:pPr>
              <w:pStyle w:val="TA1"/>
              <w:jc w:val="right"/>
              <w:rPr>
                <w:rFonts w:eastAsiaTheme="minorEastAsia"/>
              </w:rPr>
            </w:pPr>
            <w:r>
              <w:t>8</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0CB4CD9" w14:textId="77777777" w:rsidR="005D07A6" w:rsidRDefault="005D07A6"/>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2500085" w14:textId="77777777" w:rsidR="005D07A6" w:rsidRDefault="00F42774">
            <w:pPr>
              <w:pStyle w:val="TA1"/>
              <w:jc w:val="right"/>
              <w:rPr>
                <w:rFonts w:eastAsiaTheme="minorEastAsia"/>
              </w:rPr>
            </w:pPr>
            <w:r>
              <w:t>704</w:t>
            </w:r>
          </w:p>
        </w:tc>
      </w:tr>
    </w:tbl>
    <w:p w14:paraId="4E799D64" w14:textId="77777777" w:rsidR="005D07A6" w:rsidRDefault="00F42774">
      <w:pPr>
        <w:pStyle w:val="TNiv2"/>
        <w:rPr>
          <w:rFonts w:eastAsiaTheme="minorEastAsia"/>
        </w:rPr>
      </w:pPr>
      <w:r>
        <w:t>j) Coûts de revient et résultats analytiques</w:t>
      </w:r>
    </w:p>
    <w:tbl>
      <w:tblPr>
        <w:tblW w:w="7382" w:type="dxa"/>
        <w:tblInd w:w="1701" w:type="dxa"/>
        <w:tblLook w:val="04A0" w:firstRow="1" w:lastRow="0" w:firstColumn="1" w:lastColumn="0" w:noHBand="0" w:noVBand="1"/>
      </w:tblPr>
      <w:tblGrid>
        <w:gridCol w:w="2101"/>
        <w:gridCol w:w="880"/>
        <w:gridCol w:w="880"/>
        <w:gridCol w:w="880"/>
        <w:gridCol w:w="880"/>
        <w:gridCol w:w="880"/>
        <w:gridCol w:w="881"/>
      </w:tblGrid>
      <w:tr w:rsidR="005D07A6" w14:paraId="50491F4B" w14:textId="77777777">
        <w:tc>
          <w:tcPr>
            <w:tcW w:w="157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A97F0DA" w14:textId="77777777" w:rsidR="005D07A6" w:rsidRDefault="00F42774">
            <w:pPr>
              <w:pStyle w:val="TA1"/>
              <w:jc w:val="center"/>
              <w:rPr>
                <w:rFonts w:eastAsiaTheme="minorEastAsia"/>
              </w:rPr>
            </w:pPr>
            <w:r>
              <w:rPr>
                <w:b/>
                <w:bCs/>
              </w:rPr>
              <w:t>Éléments</w:t>
            </w:r>
          </w:p>
        </w:tc>
        <w:tc>
          <w:tcPr>
            <w:tcW w:w="660"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1FFA7C6" w14:textId="77777777" w:rsidR="005D07A6" w:rsidRDefault="00F42774">
            <w:pPr>
              <w:pStyle w:val="TA1"/>
              <w:jc w:val="center"/>
              <w:rPr>
                <w:rFonts w:eastAsiaTheme="minorEastAsia"/>
              </w:rPr>
            </w:pPr>
            <w:r>
              <w:rPr>
                <w:b/>
                <w:bCs/>
              </w:rPr>
              <w:t>Enceintes C</w:t>
            </w:r>
          </w:p>
        </w:tc>
        <w:tc>
          <w:tcPr>
            <w:tcW w:w="660"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7D422D4" w14:textId="77777777" w:rsidR="005D07A6" w:rsidRDefault="00F42774">
            <w:pPr>
              <w:pStyle w:val="TA1"/>
              <w:jc w:val="center"/>
              <w:rPr>
                <w:rFonts w:eastAsiaTheme="minorEastAsia"/>
              </w:rPr>
            </w:pPr>
            <w:r>
              <w:rPr>
                <w:b/>
                <w:bCs/>
              </w:rPr>
              <w:t>Enceintes HF</w:t>
            </w:r>
          </w:p>
        </w:tc>
      </w:tr>
      <w:tr w:rsidR="005D07A6" w14:paraId="324DA798" w14:textId="77777777">
        <w:tc>
          <w:tcPr>
            <w:tcW w:w="15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04258E3" w14:textId="77777777" w:rsidR="005D07A6" w:rsidRDefault="00F42774">
            <w:pPr>
              <w:pStyle w:val="TA1"/>
              <w:rPr>
                <w:rFonts w:eastAsiaTheme="minorEastAsia"/>
              </w:rPr>
            </w:pPr>
            <w:r>
              <w:t>Coût de production</w:t>
            </w:r>
          </w:p>
          <w:p w14:paraId="2C58D1BC" w14:textId="77777777" w:rsidR="005D07A6" w:rsidRDefault="00F42774">
            <w:pPr>
              <w:pStyle w:val="TA1"/>
              <w:rPr>
                <w:rFonts w:eastAsiaTheme="minorEastAsia"/>
              </w:rPr>
            </w:pPr>
            <w:r>
              <w:t>Centre distribution</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672E7E5" w14:textId="77777777" w:rsidR="005D07A6" w:rsidRDefault="00F42774">
            <w:pPr>
              <w:pStyle w:val="TA1"/>
              <w:jc w:val="center"/>
              <w:rPr>
                <w:rFonts w:eastAsiaTheme="minorEastAsia"/>
              </w:rPr>
            </w:pPr>
            <w:r>
              <w:t>800</w:t>
            </w:r>
          </w:p>
          <w:p w14:paraId="61372AC9" w14:textId="77777777" w:rsidR="005D07A6" w:rsidRDefault="00F42774">
            <w:pPr>
              <w:pStyle w:val="TA1"/>
              <w:jc w:val="center"/>
              <w:rPr>
                <w:rFonts w:eastAsiaTheme="minorEastAsia"/>
              </w:rPr>
            </w:pPr>
            <w:r>
              <w:t>780</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C713EC2" w14:textId="77777777" w:rsidR="005D07A6" w:rsidRDefault="00F42774">
            <w:pPr>
              <w:pStyle w:val="TA1"/>
              <w:jc w:val="right"/>
              <w:rPr>
                <w:rFonts w:eastAsiaTheme="minorEastAsia"/>
              </w:rPr>
            </w:pPr>
            <w:r>
              <w:t>65,7</w:t>
            </w:r>
          </w:p>
          <w:p w14:paraId="3F8154DE" w14:textId="77777777" w:rsidR="005D07A6" w:rsidRDefault="00F42774">
            <w:pPr>
              <w:pStyle w:val="TA1"/>
              <w:jc w:val="right"/>
              <w:rPr>
                <w:rFonts w:eastAsiaTheme="minorEastAsia"/>
              </w:rPr>
            </w:pPr>
            <w:r>
              <w:t>4,0</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FA1B1EC" w14:textId="77777777" w:rsidR="005D07A6" w:rsidRDefault="00F42774">
            <w:pPr>
              <w:pStyle w:val="TA1"/>
              <w:jc w:val="right"/>
              <w:rPr>
                <w:rFonts w:eastAsiaTheme="minorEastAsia"/>
              </w:rPr>
            </w:pPr>
            <w:r>
              <w:t>52 560</w:t>
            </w:r>
          </w:p>
          <w:p w14:paraId="59338C71" w14:textId="77777777" w:rsidR="005D07A6" w:rsidRDefault="00F42774">
            <w:pPr>
              <w:pStyle w:val="TA1"/>
              <w:jc w:val="right"/>
              <w:rPr>
                <w:rFonts w:eastAsiaTheme="minorEastAsia"/>
              </w:rPr>
            </w:pPr>
            <w:r>
              <w:t>3 120</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99F9F7F" w14:textId="77777777" w:rsidR="005D07A6" w:rsidRDefault="00F42774">
            <w:pPr>
              <w:pStyle w:val="TA1"/>
              <w:jc w:val="center"/>
              <w:rPr>
                <w:rFonts w:eastAsiaTheme="minorEastAsia"/>
              </w:rPr>
            </w:pPr>
            <w:r>
              <w:t>1 390</w:t>
            </w:r>
          </w:p>
          <w:p w14:paraId="6BB699CF" w14:textId="77777777" w:rsidR="005D07A6" w:rsidRDefault="00F42774">
            <w:pPr>
              <w:pStyle w:val="TA1"/>
              <w:jc w:val="center"/>
              <w:rPr>
                <w:rFonts w:eastAsiaTheme="minorEastAsia"/>
              </w:rPr>
            </w:pPr>
            <w:r>
              <w:t>1 529</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7378FC3" w14:textId="77777777" w:rsidR="005D07A6" w:rsidRDefault="00F42774">
            <w:pPr>
              <w:pStyle w:val="TA1"/>
              <w:jc w:val="right"/>
              <w:rPr>
                <w:rFonts w:eastAsiaTheme="minorEastAsia"/>
              </w:rPr>
            </w:pPr>
            <w:r>
              <w:t>88</w:t>
            </w:r>
          </w:p>
          <w:p w14:paraId="09930588" w14:textId="77777777" w:rsidR="005D07A6" w:rsidRDefault="00F42774">
            <w:pPr>
              <w:pStyle w:val="TA1"/>
              <w:jc w:val="right"/>
              <w:rPr>
                <w:rFonts w:eastAsiaTheme="minorEastAsia"/>
              </w:rPr>
            </w:pPr>
            <w:r>
              <w:t>4</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847F624" w14:textId="77777777" w:rsidR="005D07A6" w:rsidRDefault="00F42774">
            <w:pPr>
              <w:pStyle w:val="TA1"/>
              <w:jc w:val="right"/>
              <w:rPr>
                <w:rFonts w:eastAsiaTheme="minorEastAsia"/>
              </w:rPr>
            </w:pPr>
            <w:r>
              <w:t>122 320</w:t>
            </w:r>
          </w:p>
          <w:p w14:paraId="2BBAA4B6" w14:textId="77777777" w:rsidR="005D07A6" w:rsidRDefault="00F42774">
            <w:pPr>
              <w:pStyle w:val="TA1"/>
              <w:jc w:val="right"/>
              <w:rPr>
                <w:rFonts w:eastAsiaTheme="minorEastAsia"/>
              </w:rPr>
            </w:pPr>
            <w:r>
              <w:t>6 116</w:t>
            </w:r>
          </w:p>
        </w:tc>
      </w:tr>
      <w:tr w:rsidR="005D07A6" w14:paraId="115D0B6A" w14:textId="77777777">
        <w:tc>
          <w:tcPr>
            <w:tcW w:w="1575" w:type="dxa"/>
            <w:tcBorders>
              <w:top w:val="nil"/>
              <w:left w:val="single" w:sz="4" w:space="0" w:color="auto"/>
              <w:bottom w:val="nil"/>
              <w:right w:val="single" w:sz="4" w:space="0" w:color="auto"/>
            </w:tcBorders>
            <w:tcMar>
              <w:top w:w="0" w:type="dxa"/>
              <w:left w:w="2" w:type="dxa"/>
              <w:bottom w:w="0" w:type="dxa"/>
              <w:right w:w="2" w:type="dxa"/>
            </w:tcMar>
            <w:hideMark/>
          </w:tcPr>
          <w:p w14:paraId="68234503" w14:textId="77777777" w:rsidR="005D07A6" w:rsidRDefault="00F42774">
            <w:pPr>
              <w:pStyle w:val="TA1"/>
              <w:rPr>
                <w:rFonts w:eastAsiaTheme="minorEastAsia"/>
              </w:rPr>
            </w:pPr>
            <w:r>
              <w:t>Coût de revient</w:t>
            </w:r>
          </w:p>
          <w:p w14:paraId="2C1B7947" w14:textId="77777777" w:rsidR="005D07A6" w:rsidRDefault="00F42774">
            <w:pPr>
              <w:pStyle w:val="TA1"/>
              <w:rPr>
                <w:rFonts w:eastAsiaTheme="minorEastAsia"/>
              </w:rPr>
            </w:pPr>
            <w:r>
              <w:lastRenderedPageBreak/>
              <w:t>Chiffre d’affaires</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50875EE" w14:textId="77777777" w:rsidR="005D07A6" w:rsidRDefault="00F42774">
            <w:pPr>
              <w:pStyle w:val="TA1"/>
              <w:jc w:val="center"/>
              <w:rPr>
                <w:rFonts w:eastAsiaTheme="minorEastAsia"/>
              </w:rPr>
            </w:pPr>
            <w:r>
              <w:lastRenderedPageBreak/>
              <w:t>800</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0A0FCD6" w14:textId="77777777" w:rsidR="005D07A6" w:rsidRDefault="00F42774">
            <w:pPr>
              <w:pStyle w:val="TA1"/>
              <w:jc w:val="right"/>
              <w:rPr>
                <w:rFonts w:eastAsiaTheme="minorEastAsia"/>
              </w:rPr>
            </w:pPr>
            <w:r>
              <w:t>97,5</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B105B42" w14:textId="77777777" w:rsidR="005D07A6" w:rsidRDefault="00F42774">
            <w:pPr>
              <w:pStyle w:val="TA1"/>
              <w:jc w:val="right"/>
              <w:rPr>
                <w:rFonts w:eastAsiaTheme="minorEastAsia"/>
              </w:rPr>
            </w:pPr>
            <w:r>
              <w:t>55 680</w:t>
            </w:r>
          </w:p>
          <w:p w14:paraId="1D89D1B0" w14:textId="77777777" w:rsidR="005D07A6" w:rsidRDefault="00F42774">
            <w:pPr>
              <w:pStyle w:val="TA1"/>
              <w:jc w:val="right"/>
              <w:rPr>
                <w:rFonts w:eastAsiaTheme="minorEastAsia"/>
              </w:rPr>
            </w:pPr>
            <w:r>
              <w:lastRenderedPageBreak/>
              <w:t>78 000</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B3E1731" w14:textId="77777777" w:rsidR="005D07A6" w:rsidRDefault="00F42774">
            <w:pPr>
              <w:pStyle w:val="TA1"/>
              <w:jc w:val="center"/>
              <w:rPr>
                <w:rFonts w:eastAsiaTheme="minorEastAsia"/>
              </w:rPr>
            </w:pPr>
            <w:r>
              <w:lastRenderedPageBreak/>
              <w:t>1 390</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80C8CDE" w14:textId="77777777" w:rsidR="005D07A6" w:rsidRDefault="00F42774">
            <w:pPr>
              <w:pStyle w:val="TA1"/>
              <w:jc w:val="right"/>
              <w:rPr>
                <w:rFonts w:eastAsiaTheme="minorEastAsia"/>
              </w:rPr>
            </w:pPr>
            <w:r>
              <w:t>110</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484E0DE" w14:textId="77777777" w:rsidR="005D07A6" w:rsidRDefault="00F42774">
            <w:pPr>
              <w:pStyle w:val="TA1"/>
              <w:jc w:val="right"/>
              <w:rPr>
                <w:rFonts w:eastAsiaTheme="minorEastAsia"/>
              </w:rPr>
            </w:pPr>
            <w:r>
              <w:t>128 436</w:t>
            </w:r>
          </w:p>
          <w:p w14:paraId="78B34B4F" w14:textId="77777777" w:rsidR="005D07A6" w:rsidRDefault="00F42774">
            <w:pPr>
              <w:pStyle w:val="TA1"/>
              <w:jc w:val="right"/>
              <w:rPr>
                <w:rFonts w:eastAsiaTheme="minorEastAsia"/>
              </w:rPr>
            </w:pPr>
            <w:r>
              <w:lastRenderedPageBreak/>
              <w:t>152 900</w:t>
            </w:r>
          </w:p>
        </w:tc>
      </w:tr>
      <w:tr w:rsidR="005D07A6" w14:paraId="60E7DDF8" w14:textId="77777777">
        <w:tc>
          <w:tcPr>
            <w:tcW w:w="15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98BA2C5" w14:textId="77777777" w:rsidR="005D07A6" w:rsidRDefault="00F42774">
            <w:pPr>
              <w:pStyle w:val="TA1"/>
              <w:rPr>
                <w:rFonts w:eastAsiaTheme="minorEastAsia"/>
              </w:rPr>
            </w:pPr>
            <w:r>
              <w:lastRenderedPageBreak/>
              <w:t>Résultat analytique</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CF0416C" w14:textId="77777777" w:rsidR="005D07A6" w:rsidRDefault="005D07A6"/>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80AAE9D" w14:textId="77777777" w:rsidR="005D07A6" w:rsidRDefault="005D07A6"/>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CD9A9D4" w14:textId="77777777" w:rsidR="005D07A6" w:rsidRDefault="00F42774">
            <w:pPr>
              <w:pStyle w:val="TA1"/>
              <w:jc w:val="right"/>
              <w:rPr>
                <w:rFonts w:eastAsiaTheme="minorEastAsia"/>
              </w:rPr>
            </w:pPr>
            <w:r>
              <w:t>22 320</w:t>
            </w:r>
          </w:p>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5552054" w14:textId="77777777" w:rsidR="005D07A6" w:rsidRDefault="005D07A6"/>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DC60929" w14:textId="77777777" w:rsidR="005D07A6" w:rsidRDefault="005D07A6"/>
        </w:tc>
        <w:tc>
          <w:tcPr>
            <w:tcW w:w="66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15A5125" w14:textId="77777777" w:rsidR="005D07A6" w:rsidRDefault="00F42774">
            <w:pPr>
              <w:pStyle w:val="TA1"/>
              <w:jc w:val="right"/>
              <w:rPr>
                <w:rFonts w:eastAsiaTheme="minorEastAsia"/>
              </w:rPr>
            </w:pPr>
            <w:r>
              <w:t>24 464</w:t>
            </w:r>
          </w:p>
        </w:tc>
      </w:tr>
    </w:tbl>
    <w:p w14:paraId="3A3B51A7" w14:textId="77777777" w:rsidR="005D07A6" w:rsidRDefault="00F42774">
      <w:pPr>
        <w:pStyle w:val="TNiv1"/>
        <w:rPr>
          <w:rFonts w:eastAsiaTheme="minorEastAsia"/>
        </w:rPr>
      </w:pPr>
      <w:r>
        <w:rPr>
          <w:rStyle w:val="RefQuestion"/>
        </w:rPr>
        <w:t>3</w:t>
      </w:r>
      <w:r>
        <w:t>. Concordance avec la comptabilité financière</w:t>
      </w:r>
    </w:p>
    <w:p w14:paraId="10B8565A" w14:textId="77777777" w:rsidR="005D07A6" w:rsidRDefault="00F42774">
      <w:pPr>
        <w:pStyle w:val="TNiv2"/>
      </w:pPr>
      <w:r>
        <w:t>a) Calcul du résultat à partir des résultats analytiques</w:t>
      </w:r>
    </w:p>
    <w:tbl>
      <w:tblPr>
        <w:tblW w:w="6458" w:type="dxa"/>
        <w:tblInd w:w="1701" w:type="dxa"/>
        <w:tblLook w:val="04A0" w:firstRow="1" w:lastRow="0" w:firstColumn="1" w:lastColumn="0" w:noHBand="0" w:noVBand="1"/>
      </w:tblPr>
      <w:tblGrid>
        <w:gridCol w:w="1139"/>
        <w:gridCol w:w="2099"/>
        <w:gridCol w:w="1300"/>
        <w:gridCol w:w="960"/>
        <w:gridCol w:w="960"/>
      </w:tblGrid>
      <w:tr w:rsidR="005D07A6" w14:paraId="25A74711" w14:textId="77777777">
        <w:tc>
          <w:tcPr>
            <w:tcW w:w="855" w:type="dxa"/>
            <w:gridSpan w:val="4"/>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AD576A4" w14:textId="77777777" w:rsidR="005D07A6" w:rsidRDefault="00F42774">
            <w:pPr>
              <w:pStyle w:val="TA1"/>
              <w:rPr>
                <w:rFonts w:eastAsiaTheme="minorEastAsia"/>
              </w:rPr>
            </w:pPr>
            <w:r>
              <w:t>Résultat analytique global : 22 320 + 24 464 (somme des résultats par produit) :</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A35310B" w14:textId="77777777" w:rsidR="005D07A6" w:rsidRDefault="00F42774">
            <w:pPr>
              <w:pStyle w:val="TA1"/>
              <w:jc w:val="right"/>
              <w:rPr>
                <w:rFonts w:eastAsiaTheme="minorEastAsia"/>
              </w:rPr>
            </w:pPr>
            <w:r>
              <w:t>46 784,0</w:t>
            </w:r>
          </w:p>
        </w:tc>
      </w:tr>
      <w:tr w:rsidR="005D07A6" w14:paraId="24E6CC2B" w14:textId="77777777">
        <w:tc>
          <w:tcPr>
            <w:tcW w:w="855" w:type="dxa"/>
            <w:gridSpan w:val="4"/>
            <w:tcBorders>
              <w:top w:val="nil"/>
              <w:left w:val="single" w:sz="4" w:space="0" w:color="auto"/>
              <w:bottom w:val="nil"/>
              <w:right w:val="single" w:sz="4" w:space="0" w:color="auto"/>
            </w:tcBorders>
            <w:tcMar>
              <w:top w:w="0" w:type="dxa"/>
              <w:left w:w="2" w:type="dxa"/>
              <w:bottom w:w="0" w:type="dxa"/>
              <w:right w:w="2" w:type="dxa"/>
            </w:tcMar>
            <w:hideMark/>
          </w:tcPr>
          <w:p w14:paraId="1D5E2960" w14:textId="77777777" w:rsidR="005D07A6" w:rsidRDefault="00F42774">
            <w:pPr>
              <w:pStyle w:val="TA1"/>
              <w:rPr>
                <w:rFonts w:eastAsiaTheme="minorEastAsia"/>
              </w:rPr>
            </w:pPr>
            <w:r>
              <w:t>À ajouter</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40660551" w14:textId="77777777" w:rsidR="005D07A6" w:rsidRDefault="00F42774">
            <w:pPr>
              <w:pStyle w:val="TA1"/>
              <w:jc w:val="right"/>
              <w:rPr>
                <w:rFonts w:eastAsiaTheme="minorEastAsia"/>
              </w:rPr>
            </w:pPr>
            <w:r>
              <w:t>10 010,0</w:t>
            </w:r>
          </w:p>
        </w:tc>
      </w:tr>
      <w:tr w:rsidR="005D07A6" w14:paraId="6ACF2B23" w14:textId="77777777">
        <w:tc>
          <w:tcPr>
            <w:tcW w:w="855" w:type="dxa"/>
            <w:tcBorders>
              <w:top w:val="nil"/>
              <w:left w:val="single" w:sz="4" w:space="0" w:color="auto"/>
              <w:bottom w:val="nil"/>
              <w:right w:val="nil"/>
            </w:tcBorders>
            <w:tcMar>
              <w:top w:w="0" w:type="dxa"/>
              <w:left w:w="2" w:type="dxa"/>
              <w:bottom w:w="0" w:type="dxa"/>
              <w:right w:w="2" w:type="dxa"/>
            </w:tcMar>
            <w:hideMark/>
          </w:tcPr>
          <w:p w14:paraId="45335BFF" w14:textId="77777777" w:rsidR="005D07A6" w:rsidRDefault="005D07A6"/>
        </w:tc>
        <w:tc>
          <w:tcPr>
            <w:tcW w:w="1575" w:type="dxa"/>
            <w:gridSpan w:val="2"/>
            <w:tcBorders>
              <w:top w:val="nil"/>
              <w:left w:val="nil"/>
              <w:bottom w:val="nil"/>
              <w:right w:val="nil"/>
            </w:tcBorders>
            <w:tcMar>
              <w:top w:w="0" w:type="dxa"/>
              <w:left w:w="2" w:type="dxa"/>
              <w:bottom w:w="0" w:type="dxa"/>
              <w:right w:w="2" w:type="dxa"/>
            </w:tcMar>
            <w:hideMark/>
          </w:tcPr>
          <w:p w14:paraId="5E5D1F53" w14:textId="77777777" w:rsidR="005D07A6" w:rsidRDefault="00F42774">
            <w:pPr>
              <w:pStyle w:val="TA1"/>
              <w:rPr>
                <w:rFonts w:eastAsiaTheme="minorEastAsia"/>
              </w:rPr>
            </w:pPr>
            <w:r>
              <w:t>Charges supplétives</w:t>
            </w:r>
          </w:p>
          <w:p w14:paraId="35879D40" w14:textId="77777777" w:rsidR="005D07A6" w:rsidRDefault="00F42774">
            <w:pPr>
              <w:pStyle w:val="TA1"/>
              <w:rPr>
                <w:rFonts w:eastAsiaTheme="minorEastAsia"/>
              </w:rPr>
            </w:pPr>
            <w:r>
              <w:t>Boni d’inventaire sur l’absorbant</w:t>
            </w:r>
          </w:p>
        </w:tc>
        <w:tc>
          <w:tcPr>
            <w:tcW w:w="720" w:type="dxa"/>
            <w:tcBorders>
              <w:top w:val="nil"/>
              <w:left w:val="nil"/>
              <w:bottom w:val="nil"/>
              <w:right w:val="single" w:sz="4" w:space="0" w:color="auto"/>
            </w:tcBorders>
            <w:tcMar>
              <w:top w:w="0" w:type="dxa"/>
              <w:left w:w="2" w:type="dxa"/>
              <w:bottom w:w="0" w:type="dxa"/>
              <w:right w:w="2" w:type="dxa"/>
            </w:tcMar>
            <w:hideMark/>
          </w:tcPr>
          <w:p w14:paraId="2EA881E2" w14:textId="77777777" w:rsidR="005D07A6" w:rsidRDefault="00F42774">
            <w:pPr>
              <w:pStyle w:val="TA1"/>
              <w:jc w:val="right"/>
              <w:rPr>
                <w:rFonts w:eastAsiaTheme="minorEastAsia"/>
              </w:rPr>
            </w:pPr>
            <w:r>
              <w:t>10 000</w:t>
            </w:r>
          </w:p>
          <w:p w14:paraId="118B8895" w14:textId="77777777" w:rsidR="005D07A6" w:rsidRDefault="00F42774">
            <w:pPr>
              <w:pStyle w:val="TA1"/>
              <w:jc w:val="right"/>
              <w:rPr>
                <w:rFonts w:eastAsiaTheme="minorEastAsia"/>
              </w:rPr>
            </w:pPr>
            <w:r>
              <w:t>10</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1036890" w14:textId="77777777" w:rsidR="005D07A6" w:rsidRDefault="005D07A6"/>
        </w:tc>
      </w:tr>
      <w:tr w:rsidR="005D07A6" w14:paraId="060882B9" w14:textId="77777777">
        <w:tc>
          <w:tcPr>
            <w:tcW w:w="855" w:type="dxa"/>
            <w:tcBorders>
              <w:top w:val="nil"/>
              <w:left w:val="single" w:sz="4" w:space="0" w:color="auto"/>
              <w:bottom w:val="nil"/>
              <w:right w:val="nil"/>
            </w:tcBorders>
            <w:tcMar>
              <w:top w:w="0" w:type="dxa"/>
              <w:left w:w="2" w:type="dxa"/>
              <w:bottom w:w="0" w:type="dxa"/>
              <w:right w:w="2" w:type="dxa"/>
            </w:tcMar>
            <w:hideMark/>
          </w:tcPr>
          <w:p w14:paraId="28B6BADA" w14:textId="77777777" w:rsidR="005D07A6" w:rsidRDefault="005D07A6"/>
        </w:tc>
        <w:tc>
          <w:tcPr>
            <w:tcW w:w="1575" w:type="dxa"/>
            <w:tcBorders>
              <w:top w:val="nil"/>
              <w:left w:val="nil"/>
              <w:bottom w:val="nil"/>
              <w:right w:val="nil"/>
            </w:tcBorders>
            <w:tcMar>
              <w:top w:w="0" w:type="dxa"/>
              <w:left w:w="2" w:type="dxa"/>
              <w:bottom w:w="0" w:type="dxa"/>
              <w:right w:w="2" w:type="dxa"/>
            </w:tcMar>
            <w:hideMark/>
          </w:tcPr>
          <w:p w14:paraId="052B0EA5" w14:textId="77777777" w:rsidR="005D07A6" w:rsidRDefault="005D07A6"/>
        </w:tc>
        <w:tc>
          <w:tcPr>
            <w:tcW w:w="975" w:type="dxa"/>
            <w:tcBorders>
              <w:top w:val="nil"/>
              <w:left w:val="nil"/>
              <w:bottom w:val="nil"/>
              <w:right w:val="nil"/>
            </w:tcBorders>
            <w:tcMar>
              <w:top w:w="0" w:type="dxa"/>
              <w:left w:w="2" w:type="dxa"/>
              <w:bottom w:w="0" w:type="dxa"/>
              <w:right w:w="2" w:type="dxa"/>
            </w:tcMar>
            <w:hideMark/>
          </w:tcPr>
          <w:p w14:paraId="5FDD946D" w14:textId="77777777" w:rsidR="005D07A6" w:rsidRDefault="005D07A6"/>
        </w:tc>
        <w:tc>
          <w:tcPr>
            <w:tcW w:w="720" w:type="dxa"/>
            <w:tcBorders>
              <w:top w:val="nil"/>
              <w:left w:val="nil"/>
              <w:bottom w:val="nil"/>
              <w:right w:val="nil"/>
            </w:tcBorders>
            <w:tcMar>
              <w:top w:w="0" w:type="dxa"/>
              <w:left w:w="2" w:type="dxa"/>
              <w:bottom w:w="0" w:type="dxa"/>
              <w:right w:w="2" w:type="dxa"/>
            </w:tcMar>
            <w:hideMark/>
          </w:tcPr>
          <w:p w14:paraId="5293F42F" w14:textId="77777777" w:rsidR="005D07A6" w:rsidRDefault="005D07A6"/>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10BA012" w14:textId="77777777" w:rsidR="005D07A6" w:rsidRDefault="00F42774">
            <w:pPr>
              <w:pStyle w:val="TA1"/>
              <w:jc w:val="right"/>
              <w:rPr>
                <w:rFonts w:eastAsiaTheme="minorEastAsia"/>
              </w:rPr>
            </w:pPr>
            <w:r>
              <w:t>56 794,0</w:t>
            </w:r>
          </w:p>
        </w:tc>
      </w:tr>
      <w:tr w:rsidR="005D07A6" w14:paraId="580E57FD" w14:textId="77777777">
        <w:tc>
          <w:tcPr>
            <w:tcW w:w="855" w:type="dxa"/>
            <w:tcBorders>
              <w:top w:val="nil"/>
              <w:left w:val="single" w:sz="4" w:space="0" w:color="auto"/>
              <w:bottom w:val="nil"/>
              <w:right w:val="nil"/>
            </w:tcBorders>
            <w:tcMar>
              <w:top w:w="0" w:type="dxa"/>
              <w:left w:w="2" w:type="dxa"/>
              <w:bottom w:w="0" w:type="dxa"/>
              <w:right w:w="2" w:type="dxa"/>
            </w:tcMar>
            <w:hideMark/>
          </w:tcPr>
          <w:p w14:paraId="0F8B9ED2" w14:textId="77777777" w:rsidR="005D07A6" w:rsidRDefault="00F42774">
            <w:pPr>
              <w:pStyle w:val="TA1"/>
              <w:rPr>
                <w:rFonts w:eastAsiaTheme="minorEastAsia"/>
              </w:rPr>
            </w:pPr>
            <w:r>
              <w:t>À déduire</w:t>
            </w:r>
          </w:p>
        </w:tc>
        <w:tc>
          <w:tcPr>
            <w:tcW w:w="1575" w:type="dxa"/>
            <w:tcBorders>
              <w:top w:val="nil"/>
              <w:left w:val="nil"/>
              <w:bottom w:val="nil"/>
              <w:right w:val="nil"/>
            </w:tcBorders>
            <w:tcMar>
              <w:top w:w="0" w:type="dxa"/>
              <w:left w:w="2" w:type="dxa"/>
              <w:bottom w:w="0" w:type="dxa"/>
              <w:right w:w="2" w:type="dxa"/>
            </w:tcMar>
            <w:hideMark/>
          </w:tcPr>
          <w:p w14:paraId="7A5886D2" w14:textId="77777777" w:rsidR="005D07A6" w:rsidRDefault="005D07A6"/>
        </w:tc>
        <w:tc>
          <w:tcPr>
            <w:tcW w:w="975" w:type="dxa"/>
            <w:tcBorders>
              <w:top w:val="nil"/>
              <w:left w:val="nil"/>
              <w:bottom w:val="nil"/>
              <w:right w:val="nil"/>
            </w:tcBorders>
            <w:tcMar>
              <w:top w:w="0" w:type="dxa"/>
              <w:left w:w="2" w:type="dxa"/>
              <w:bottom w:w="0" w:type="dxa"/>
              <w:right w:w="2" w:type="dxa"/>
            </w:tcMar>
            <w:hideMark/>
          </w:tcPr>
          <w:p w14:paraId="313930C2" w14:textId="77777777" w:rsidR="005D07A6" w:rsidRDefault="005D07A6"/>
        </w:tc>
        <w:tc>
          <w:tcPr>
            <w:tcW w:w="720" w:type="dxa"/>
            <w:tcBorders>
              <w:top w:val="nil"/>
              <w:left w:val="nil"/>
              <w:bottom w:val="nil"/>
              <w:right w:val="nil"/>
            </w:tcBorders>
            <w:tcMar>
              <w:top w:w="0" w:type="dxa"/>
              <w:left w:w="2" w:type="dxa"/>
              <w:bottom w:w="0" w:type="dxa"/>
              <w:right w:w="2" w:type="dxa"/>
            </w:tcMar>
            <w:hideMark/>
          </w:tcPr>
          <w:p w14:paraId="7A104FB9" w14:textId="77777777" w:rsidR="005D07A6" w:rsidRDefault="005D07A6"/>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5ECF76D3" w14:textId="77777777" w:rsidR="005D07A6" w:rsidRDefault="00F42774">
            <w:pPr>
              <w:pStyle w:val="TA1"/>
              <w:jc w:val="right"/>
              <w:rPr>
                <w:rFonts w:eastAsiaTheme="minorEastAsia"/>
              </w:rPr>
            </w:pPr>
            <w:r>
              <w:t>– 1 288,5</w:t>
            </w:r>
          </w:p>
        </w:tc>
      </w:tr>
      <w:tr w:rsidR="005D07A6" w14:paraId="2915D6B9" w14:textId="77777777">
        <w:tc>
          <w:tcPr>
            <w:tcW w:w="855" w:type="dxa"/>
            <w:tcBorders>
              <w:top w:val="nil"/>
              <w:left w:val="single" w:sz="4" w:space="0" w:color="auto"/>
              <w:bottom w:val="nil"/>
              <w:right w:val="nil"/>
            </w:tcBorders>
            <w:tcMar>
              <w:top w:w="0" w:type="dxa"/>
              <w:left w:w="2" w:type="dxa"/>
              <w:bottom w:w="0" w:type="dxa"/>
              <w:right w:w="2" w:type="dxa"/>
            </w:tcMar>
            <w:hideMark/>
          </w:tcPr>
          <w:p w14:paraId="39526EDC" w14:textId="77777777" w:rsidR="005D07A6" w:rsidRDefault="005D07A6"/>
        </w:tc>
        <w:tc>
          <w:tcPr>
            <w:tcW w:w="1575" w:type="dxa"/>
            <w:tcBorders>
              <w:top w:val="nil"/>
              <w:left w:val="nil"/>
              <w:bottom w:val="nil"/>
              <w:right w:val="nil"/>
            </w:tcBorders>
            <w:tcMar>
              <w:top w:w="0" w:type="dxa"/>
              <w:left w:w="2" w:type="dxa"/>
              <w:bottom w:w="0" w:type="dxa"/>
              <w:right w:w="2" w:type="dxa"/>
            </w:tcMar>
            <w:hideMark/>
          </w:tcPr>
          <w:p w14:paraId="2A73C19E" w14:textId="77777777" w:rsidR="005D07A6" w:rsidRDefault="00F42774">
            <w:pPr>
              <w:pStyle w:val="TA1"/>
              <w:rPr>
                <w:rFonts w:eastAsiaTheme="minorEastAsia"/>
              </w:rPr>
            </w:pPr>
            <w:r>
              <w:t>Charges non incorporables</w:t>
            </w:r>
          </w:p>
          <w:p w14:paraId="35D7A01E" w14:textId="77777777" w:rsidR="005D07A6" w:rsidRDefault="00F42774">
            <w:pPr>
              <w:pStyle w:val="TA1"/>
            </w:pPr>
            <w:r>
              <w:t>Mali d’inventaire</w:t>
            </w:r>
          </w:p>
          <w:p w14:paraId="2C2670F2" w14:textId="77777777" w:rsidR="005D07A6" w:rsidRDefault="00F42774">
            <w:pPr>
              <w:pStyle w:val="TA1"/>
            </w:pPr>
            <w:r>
              <w:t>sur agglomérés</w:t>
            </w:r>
          </w:p>
          <w:p w14:paraId="59C7C9C8" w14:textId="77777777" w:rsidR="005D07A6" w:rsidRDefault="00F42774">
            <w:pPr>
              <w:pStyle w:val="TA1"/>
            </w:pPr>
            <w:r>
              <w:t>sur filtres A</w:t>
            </w:r>
          </w:p>
          <w:p w14:paraId="6094DDA3" w14:textId="77777777" w:rsidR="005D07A6" w:rsidRDefault="00F42774">
            <w:pPr>
              <w:pStyle w:val="TA1"/>
            </w:pPr>
            <w:r>
              <w:t>sur cônes</w:t>
            </w:r>
          </w:p>
          <w:p w14:paraId="4A07AA34" w14:textId="77777777" w:rsidR="005D07A6" w:rsidRDefault="00F42774">
            <w:pPr>
              <w:pStyle w:val="TA1"/>
            </w:pPr>
            <w:r>
              <w:t>sur HP aigus</w:t>
            </w:r>
          </w:p>
          <w:p w14:paraId="23196DA0" w14:textId="77777777" w:rsidR="005D07A6" w:rsidRDefault="00F42774">
            <w:pPr>
              <w:pStyle w:val="TA1"/>
            </w:pPr>
            <w:r>
              <w:t>sur HP médium</w:t>
            </w:r>
          </w:p>
          <w:p w14:paraId="218F59B6" w14:textId="77777777" w:rsidR="005D07A6" w:rsidRDefault="00F42774">
            <w:pPr>
              <w:pStyle w:val="TA1"/>
              <w:rPr>
                <w:rFonts w:eastAsiaTheme="minorEastAsia"/>
              </w:rPr>
            </w:pPr>
            <w:r>
              <w:t>sur enceintes HF</w:t>
            </w:r>
          </w:p>
        </w:tc>
        <w:tc>
          <w:tcPr>
            <w:tcW w:w="975" w:type="dxa"/>
            <w:tcBorders>
              <w:top w:val="nil"/>
              <w:left w:val="nil"/>
              <w:bottom w:val="nil"/>
              <w:right w:val="nil"/>
            </w:tcBorders>
            <w:tcMar>
              <w:top w:w="0" w:type="dxa"/>
              <w:left w:w="2" w:type="dxa"/>
              <w:bottom w:w="0" w:type="dxa"/>
              <w:right w:w="2" w:type="dxa"/>
            </w:tcMar>
            <w:hideMark/>
          </w:tcPr>
          <w:p w14:paraId="137152A4" w14:textId="77777777" w:rsidR="005D07A6" w:rsidRDefault="00F42774">
            <w:pPr>
              <w:pStyle w:val="TA1"/>
              <w:jc w:val="right"/>
              <w:rPr>
                <w:rFonts w:eastAsiaTheme="minorEastAsia"/>
              </w:rPr>
            </w:pPr>
            <w:r>
              <w:t>12</w:t>
            </w:r>
          </w:p>
          <w:p w14:paraId="7D7C27E7" w14:textId="77777777" w:rsidR="005D07A6" w:rsidRDefault="00F42774">
            <w:pPr>
              <w:pStyle w:val="TA1"/>
              <w:jc w:val="right"/>
            </w:pPr>
            <w:r>
              <w:t>41</w:t>
            </w:r>
          </w:p>
          <w:p w14:paraId="1F13D051" w14:textId="77777777" w:rsidR="005D07A6" w:rsidRDefault="00F42774">
            <w:pPr>
              <w:pStyle w:val="TA1"/>
              <w:jc w:val="right"/>
            </w:pPr>
            <w:r>
              <w:t>1,2</w:t>
            </w:r>
          </w:p>
          <w:p w14:paraId="562B6F98" w14:textId="77777777" w:rsidR="005D07A6" w:rsidRDefault="00F42774">
            <w:pPr>
              <w:pStyle w:val="TA1"/>
              <w:jc w:val="right"/>
            </w:pPr>
            <w:r>
              <w:t>7,5</w:t>
            </w:r>
          </w:p>
          <w:p w14:paraId="5B64EE96" w14:textId="77777777" w:rsidR="005D07A6" w:rsidRDefault="00F42774">
            <w:pPr>
              <w:pStyle w:val="TA1"/>
              <w:jc w:val="right"/>
            </w:pPr>
            <w:r>
              <w:t>110,8</w:t>
            </w:r>
          </w:p>
          <w:p w14:paraId="4A21DE90" w14:textId="77777777" w:rsidR="005D07A6" w:rsidRDefault="00F42774">
            <w:pPr>
              <w:pStyle w:val="TA1"/>
              <w:jc w:val="right"/>
              <w:rPr>
                <w:rFonts w:eastAsiaTheme="minorEastAsia"/>
              </w:rPr>
            </w:pPr>
            <w:r>
              <w:t>176</w:t>
            </w:r>
          </w:p>
        </w:tc>
        <w:tc>
          <w:tcPr>
            <w:tcW w:w="720" w:type="dxa"/>
            <w:tcBorders>
              <w:top w:val="nil"/>
              <w:left w:val="nil"/>
              <w:bottom w:val="nil"/>
              <w:right w:val="single" w:sz="4" w:space="0" w:color="auto"/>
            </w:tcBorders>
            <w:tcMar>
              <w:top w:w="0" w:type="dxa"/>
              <w:left w:w="2" w:type="dxa"/>
              <w:bottom w:w="0" w:type="dxa"/>
              <w:right w:w="2" w:type="dxa"/>
            </w:tcMar>
            <w:hideMark/>
          </w:tcPr>
          <w:p w14:paraId="10640DA3" w14:textId="77777777" w:rsidR="005D07A6" w:rsidRDefault="00F42774">
            <w:pPr>
              <w:pStyle w:val="TA1"/>
              <w:jc w:val="right"/>
              <w:rPr>
                <w:rFonts w:eastAsiaTheme="minorEastAsia"/>
              </w:rPr>
            </w:pPr>
            <w:r>
              <w:t>940</w:t>
            </w:r>
          </w:p>
          <w:p w14:paraId="696BD917" w14:textId="77777777" w:rsidR="005D07A6" w:rsidRDefault="00F42774">
            <w:pPr>
              <w:pStyle w:val="TA1"/>
              <w:jc w:val="right"/>
              <w:rPr>
                <w:rFonts w:eastAsiaTheme="minorEastAsia"/>
              </w:rPr>
            </w:pPr>
            <w:r>
              <w:t>348,5</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69742E01" w14:textId="77777777" w:rsidR="005D07A6" w:rsidRDefault="005D07A6"/>
        </w:tc>
      </w:tr>
      <w:tr w:rsidR="005D07A6" w14:paraId="4E2E629E" w14:textId="77777777">
        <w:tc>
          <w:tcPr>
            <w:tcW w:w="855" w:type="dxa"/>
            <w:gridSpan w:val="4"/>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5DB426F" w14:textId="77777777" w:rsidR="005D07A6" w:rsidRDefault="00F42774">
            <w:pPr>
              <w:pStyle w:val="TA1"/>
              <w:rPr>
                <w:rFonts w:eastAsiaTheme="minorEastAsia"/>
              </w:rPr>
            </w:pPr>
            <w:r>
              <w:t>Résultat de la comptabilité financière</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7908441" w14:textId="77777777" w:rsidR="005D07A6" w:rsidRDefault="00F42774">
            <w:pPr>
              <w:pStyle w:val="TA1"/>
              <w:jc w:val="right"/>
              <w:rPr>
                <w:rFonts w:eastAsiaTheme="minorEastAsia"/>
              </w:rPr>
            </w:pPr>
            <w:r>
              <w:t>55 505,5</w:t>
            </w:r>
          </w:p>
        </w:tc>
      </w:tr>
    </w:tbl>
    <w:p w14:paraId="648A194B" w14:textId="77777777" w:rsidR="005D07A6" w:rsidRDefault="00F42774">
      <w:pPr>
        <w:pStyle w:val="TNiv2"/>
        <w:rPr>
          <w:rFonts w:eastAsiaTheme="minorEastAsia"/>
        </w:rPr>
      </w:pPr>
      <w:r>
        <w:t>b) Compte de résultat de la comptabilité financière</w:t>
      </w:r>
    </w:p>
    <w:tbl>
      <w:tblPr>
        <w:tblW w:w="7422" w:type="dxa"/>
        <w:tblInd w:w="1701" w:type="dxa"/>
        <w:tblLook w:val="04A0" w:firstRow="1" w:lastRow="0" w:firstColumn="1" w:lastColumn="0" w:noHBand="0" w:noVBand="1"/>
      </w:tblPr>
      <w:tblGrid>
        <w:gridCol w:w="2203"/>
        <w:gridCol w:w="1404"/>
        <w:gridCol w:w="48"/>
        <w:gridCol w:w="862"/>
        <w:gridCol w:w="175"/>
        <w:gridCol w:w="909"/>
        <w:gridCol w:w="48"/>
        <w:gridCol w:w="804"/>
        <w:gridCol w:w="969"/>
      </w:tblGrid>
      <w:tr w:rsidR="005D07A6" w14:paraId="7BC3D264" w14:textId="77777777">
        <w:tc>
          <w:tcPr>
            <w:tcW w:w="165" w:type="dxa"/>
            <w:gridSpan w:val="3"/>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0F9408B" w14:textId="77777777" w:rsidR="005D07A6" w:rsidRDefault="00F42774">
            <w:pPr>
              <w:pStyle w:val="TA1"/>
              <w:rPr>
                <w:rFonts w:eastAsiaTheme="minorEastAsia"/>
              </w:rPr>
            </w:pPr>
            <w:r>
              <w:t>Achats</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52DD65C" w14:textId="77777777" w:rsidR="005D07A6" w:rsidRDefault="00F42774">
            <w:pPr>
              <w:pStyle w:val="TA1"/>
              <w:jc w:val="right"/>
              <w:rPr>
                <w:rFonts w:eastAsiaTheme="minorEastAsia"/>
              </w:rPr>
            </w:pPr>
            <w:r>
              <w:t>21 000,0</w:t>
            </w:r>
          </w:p>
        </w:tc>
        <w:tc>
          <w:tcPr>
            <w:tcW w:w="165" w:type="dxa"/>
            <w:gridSpan w:val="4"/>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A85544D" w14:textId="77777777" w:rsidR="005D07A6" w:rsidRDefault="00F42774">
            <w:pPr>
              <w:pStyle w:val="TA1"/>
              <w:rPr>
                <w:rFonts w:eastAsiaTheme="minorEastAsia"/>
              </w:rPr>
            </w:pPr>
            <w:r>
              <w:t>Ventes</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7FFCF64" w14:textId="77777777" w:rsidR="005D07A6" w:rsidRDefault="00F42774">
            <w:pPr>
              <w:pStyle w:val="TA1"/>
              <w:jc w:val="right"/>
              <w:rPr>
                <w:rFonts w:eastAsiaTheme="minorEastAsia"/>
              </w:rPr>
            </w:pPr>
            <w:r>
              <w:t>230 900,00</w:t>
            </w:r>
          </w:p>
        </w:tc>
      </w:tr>
      <w:tr w:rsidR="005D07A6" w14:paraId="56194968" w14:textId="77777777">
        <w:tc>
          <w:tcPr>
            <w:tcW w:w="165" w:type="dxa"/>
            <w:gridSpan w:val="3"/>
            <w:tcBorders>
              <w:top w:val="nil"/>
              <w:left w:val="single" w:sz="4" w:space="0" w:color="auto"/>
              <w:bottom w:val="nil"/>
              <w:right w:val="single" w:sz="4" w:space="0" w:color="auto"/>
            </w:tcBorders>
            <w:tcMar>
              <w:top w:w="0" w:type="dxa"/>
              <w:left w:w="2" w:type="dxa"/>
              <w:bottom w:w="0" w:type="dxa"/>
              <w:right w:w="2" w:type="dxa"/>
            </w:tcMar>
            <w:hideMark/>
          </w:tcPr>
          <w:p w14:paraId="226B46D5" w14:textId="77777777" w:rsidR="005D07A6" w:rsidRDefault="00F42774">
            <w:pPr>
              <w:pStyle w:val="TA1"/>
              <w:rPr>
                <w:rFonts w:eastAsiaTheme="minorEastAsia"/>
              </w:rPr>
            </w:pPr>
            <w:r>
              <w:t>Stocks HP (SI – SF)</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088920A4" w14:textId="77777777" w:rsidR="005D07A6" w:rsidRDefault="00F42774">
            <w:pPr>
              <w:pStyle w:val="TA1"/>
              <w:jc w:val="right"/>
              <w:rPr>
                <w:rFonts w:eastAsiaTheme="minorEastAsia"/>
              </w:rPr>
            </w:pPr>
            <w:r>
              <w:t>33 754,6</w:t>
            </w:r>
          </w:p>
        </w:tc>
        <w:tc>
          <w:tcPr>
            <w:tcW w:w="165" w:type="dxa"/>
            <w:gridSpan w:val="4"/>
            <w:tcBorders>
              <w:top w:val="nil"/>
              <w:left w:val="single" w:sz="4" w:space="0" w:color="auto"/>
              <w:bottom w:val="nil"/>
              <w:right w:val="single" w:sz="4" w:space="0" w:color="auto"/>
            </w:tcBorders>
            <w:tcMar>
              <w:top w:w="0" w:type="dxa"/>
              <w:left w:w="2" w:type="dxa"/>
              <w:bottom w:w="0" w:type="dxa"/>
              <w:right w:w="2" w:type="dxa"/>
            </w:tcMar>
            <w:hideMark/>
          </w:tcPr>
          <w:p w14:paraId="0FB5DD17" w14:textId="77777777" w:rsidR="005D07A6" w:rsidRDefault="00F42774">
            <w:pPr>
              <w:pStyle w:val="TA1"/>
              <w:rPr>
                <w:rFonts w:eastAsiaTheme="minorEastAsia"/>
              </w:rPr>
            </w:pPr>
            <w:r>
              <w:t>Stocks produits semi-finis HP (SF – SI)</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4EEF86F5" w14:textId="77777777" w:rsidR="005D07A6" w:rsidRDefault="00F42774">
            <w:pPr>
              <w:pStyle w:val="TA1"/>
              <w:jc w:val="right"/>
              <w:rPr>
                <w:rFonts w:eastAsiaTheme="minorEastAsia"/>
              </w:rPr>
            </w:pPr>
            <w:r>
              <w:t>– 33 838,70</w:t>
            </w:r>
          </w:p>
        </w:tc>
      </w:tr>
      <w:tr w:rsidR="005D07A6" w14:paraId="7D3DDDCE" w14:textId="77777777">
        <w:tc>
          <w:tcPr>
            <w:tcW w:w="165" w:type="dxa"/>
            <w:vMerge w:val="restart"/>
            <w:tcBorders>
              <w:top w:val="nil"/>
              <w:left w:val="single" w:sz="4" w:space="0" w:color="auto"/>
              <w:bottom w:val="nil"/>
              <w:right w:val="nil"/>
            </w:tcBorders>
            <w:tcMar>
              <w:top w:w="0" w:type="dxa"/>
              <w:left w:w="2" w:type="dxa"/>
              <w:bottom w:w="0" w:type="dxa"/>
              <w:right w:w="2" w:type="dxa"/>
            </w:tcMar>
            <w:hideMark/>
          </w:tcPr>
          <w:p w14:paraId="232203E8" w14:textId="77777777" w:rsidR="005D07A6" w:rsidRDefault="00F42774">
            <w:pPr>
              <w:pStyle w:val="TA2"/>
              <w:rPr>
                <w:rFonts w:eastAsiaTheme="minorEastAsia"/>
              </w:rPr>
            </w:pPr>
            <w:r>
              <w:t>Agglomérés</w:t>
            </w:r>
          </w:p>
          <w:p w14:paraId="6AFCAF0C" w14:textId="77777777" w:rsidR="005D07A6" w:rsidRDefault="00F42774">
            <w:pPr>
              <w:pStyle w:val="TA2"/>
            </w:pPr>
            <w:r>
              <w:t>Absorbant</w:t>
            </w:r>
          </w:p>
          <w:p w14:paraId="7AD46268" w14:textId="77777777" w:rsidR="005D07A6" w:rsidRDefault="00F42774">
            <w:pPr>
              <w:pStyle w:val="TA2"/>
            </w:pPr>
            <w:r>
              <w:t>Tissu acoustique</w:t>
            </w:r>
          </w:p>
          <w:p w14:paraId="40D02425" w14:textId="77777777" w:rsidR="005D07A6" w:rsidRDefault="00F42774">
            <w:pPr>
              <w:pStyle w:val="TA2"/>
            </w:pPr>
            <w:r>
              <w:t>Filtres A</w:t>
            </w:r>
          </w:p>
          <w:p w14:paraId="0C077CBB" w14:textId="77777777" w:rsidR="005D07A6" w:rsidRDefault="00F42774">
            <w:pPr>
              <w:pStyle w:val="TA2"/>
            </w:pPr>
            <w:r>
              <w:t>Filtres B</w:t>
            </w:r>
          </w:p>
          <w:p w14:paraId="1648CAE2" w14:textId="77777777" w:rsidR="005D07A6" w:rsidRDefault="00F42774">
            <w:pPr>
              <w:pStyle w:val="TA2"/>
            </w:pPr>
            <w:r>
              <w:t>Carcasses</w:t>
            </w:r>
          </w:p>
          <w:p w14:paraId="019BF561" w14:textId="77777777" w:rsidR="005D07A6" w:rsidRDefault="00F42774">
            <w:pPr>
              <w:pStyle w:val="TA2"/>
            </w:pPr>
            <w:r>
              <w:t>Cônes</w:t>
            </w:r>
          </w:p>
          <w:p w14:paraId="57214355" w14:textId="77777777" w:rsidR="005D07A6" w:rsidRDefault="00F42774">
            <w:pPr>
              <w:pStyle w:val="TA2"/>
              <w:rPr>
                <w:rFonts w:eastAsiaTheme="minorEastAsia"/>
              </w:rPr>
            </w:pPr>
            <w:r>
              <w:t>Matières consommables</w:t>
            </w:r>
          </w:p>
        </w:tc>
        <w:tc>
          <w:tcPr>
            <w:tcW w:w="465" w:type="dxa"/>
            <w:gridSpan w:val="2"/>
            <w:vMerge w:val="restart"/>
            <w:tcBorders>
              <w:top w:val="nil"/>
              <w:left w:val="single" w:sz="4" w:space="0" w:color="auto"/>
              <w:bottom w:val="nil"/>
              <w:right w:val="single" w:sz="4" w:space="0" w:color="auto"/>
            </w:tcBorders>
            <w:tcMar>
              <w:top w:w="0" w:type="dxa"/>
              <w:left w:w="2" w:type="dxa"/>
              <w:bottom w:w="0" w:type="dxa"/>
              <w:right w:w="2" w:type="dxa"/>
            </w:tcMar>
            <w:hideMark/>
          </w:tcPr>
          <w:p w14:paraId="3220FD75" w14:textId="77777777" w:rsidR="005D07A6" w:rsidRDefault="00F42774">
            <w:pPr>
              <w:pStyle w:val="TA1"/>
              <w:jc w:val="right"/>
              <w:rPr>
                <w:rFonts w:eastAsiaTheme="minorEastAsia"/>
              </w:rPr>
            </w:pPr>
            <w:r>
              <w:t>65,5</w:t>
            </w:r>
          </w:p>
          <w:p w14:paraId="36A82DD2" w14:textId="77777777" w:rsidR="005D07A6" w:rsidRDefault="00F42774">
            <w:pPr>
              <w:pStyle w:val="TA1"/>
              <w:jc w:val="right"/>
            </w:pPr>
            <w:r>
              <w:t>790</w:t>
            </w:r>
          </w:p>
          <w:p w14:paraId="6CF2B398" w14:textId="77777777" w:rsidR="005D07A6" w:rsidRDefault="00F42774">
            <w:pPr>
              <w:pStyle w:val="TA1"/>
              <w:jc w:val="right"/>
            </w:pPr>
            <w:r>
              <w:t>2 158</w:t>
            </w:r>
          </w:p>
          <w:p w14:paraId="35E0B40C" w14:textId="77777777" w:rsidR="005D07A6" w:rsidRDefault="00F42774">
            <w:pPr>
              <w:pStyle w:val="TA1"/>
              <w:jc w:val="right"/>
            </w:pPr>
            <w:r>
              <w:t>6 929</w:t>
            </w:r>
          </w:p>
          <w:p w14:paraId="08680482" w14:textId="77777777" w:rsidR="005D07A6" w:rsidRDefault="00F42774">
            <w:pPr>
              <w:pStyle w:val="TA1"/>
              <w:jc w:val="right"/>
            </w:pPr>
            <w:r>
              <w:t>7 980,9</w:t>
            </w:r>
          </w:p>
          <w:p w14:paraId="1981A208" w14:textId="77777777" w:rsidR="005D07A6" w:rsidRDefault="00F42774">
            <w:pPr>
              <w:pStyle w:val="TA1"/>
              <w:jc w:val="right"/>
            </w:pPr>
            <w:r>
              <w:t>6 960</w:t>
            </w:r>
          </w:p>
          <w:p w14:paraId="1D31C63B" w14:textId="77777777" w:rsidR="005D07A6" w:rsidRDefault="00F42774">
            <w:pPr>
              <w:pStyle w:val="TA1"/>
              <w:jc w:val="right"/>
            </w:pPr>
            <w:r>
              <w:t>871,2</w:t>
            </w:r>
          </w:p>
          <w:p w14:paraId="198E7730" w14:textId="77777777" w:rsidR="005D07A6" w:rsidRDefault="00F42774">
            <w:pPr>
              <w:pStyle w:val="TA1"/>
              <w:jc w:val="right"/>
              <w:rPr>
                <w:rFonts w:eastAsiaTheme="minorEastAsia"/>
              </w:rPr>
            </w:pPr>
            <w:r>
              <w:t>8 000</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097F374B" w14:textId="77777777" w:rsidR="005D07A6" w:rsidRDefault="005D07A6"/>
        </w:tc>
        <w:tc>
          <w:tcPr>
            <w:tcW w:w="165" w:type="dxa"/>
            <w:gridSpan w:val="3"/>
            <w:tcBorders>
              <w:top w:val="nil"/>
              <w:left w:val="single" w:sz="4" w:space="0" w:color="auto"/>
              <w:bottom w:val="nil"/>
              <w:right w:val="nil"/>
            </w:tcBorders>
            <w:tcMar>
              <w:top w:w="0" w:type="dxa"/>
              <w:left w:w="2" w:type="dxa"/>
              <w:bottom w:w="0" w:type="dxa"/>
              <w:right w:w="2" w:type="dxa"/>
            </w:tcMar>
            <w:hideMark/>
          </w:tcPr>
          <w:p w14:paraId="7078FD54" w14:textId="77777777" w:rsidR="005D07A6" w:rsidRDefault="00F42774">
            <w:pPr>
              <w:pStyle w:val="TA1"/>
              <w:rPr>
                <w:rFonts w:eastAsiaTheme="minorEastAsia"/>
              </w:rPr>
            </w:pPr>
            <w:r>
              <w:t>HP aigus</w:t>
            </w:r>
          </w:p>
        </w:tc>
        <w:tc>
          <w:tcPr>
            <w:tcW w:w="645" w:type="dxa"/>
            <w:tcBorders>
              <w:top w:val="nil"/>
              <w:left w:val="nil"/>
              <w:bottom w:val="nil"/>
              <w:right w:val="single" w:sz="4" w:space="0" w:color="auto"/>
            </w:tcBorders>
            <w:tcMar>
              <w:top w:w="0" w:type="dxa"/>
              <w:left w:w="2" w:type="dxa"/>
              <w:bottom w:w="0" w:type="dxa"/>
              <w:right w:w="2" w:type="dxa"/>
            </w:tcMar>
            <w:hideMark/>
          </w:tcPr>
          <w:p w14:paraId="6C9B6B7C" w14:textId="77777777" w:rsidR="005D07A6" w:rsidRDefault="00F42774">
            <w:pPr>
              <w:pStyle w:val="TA1"/>
              <w:jc w:val="right"/>
              <w:rPr>
                <w:rFonts w:eastAsiaTheme="minorEastAsia"/>
              </w:rPr>
            </w:pPr>
            <w:r>
              <w:t>– 7 091,0</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21776A83" w14:textId="77777777" w:rsidR="005D07A6" w:rsidRDefault="005D07A6"/>
        </w:tc>
      </w:tr>
      <w:tr w:rsidR="005D07A6" w14:paraId="5A63DBE1" w14:textId="77777777">
        <w:tc>
          <w:tcPr>
            <w:tcW w:w="0" w:type="auto"/>
            <w:vMerge/>
            <w:tcBorders>
              <w:top w:val="nil"/>
              <w:left w:val="single" w:sz="4" w:space="0" w:color="auto"/>
              <w:bottom w:val="nil"/>
              <w:right w:val="nil"/>
            </w:tcBorders>
            <w:vAlign w:val="center"/>
            <w:hideMark/>
          </w:tcPr>
          <w:p w14:paraId="49732D35" w14:textId="77777777" w:rsidR="005D07A6" w:rsidRDefault="005D07A6">
            <w:pPr>
              <w:rPr>
                <w:rFonts w:eastAsiaTheme="minorEastAsia"/>
              </w:rPr>
            </w:pPr>
          </w:p>
        </w:tc>
        <w:tc>
          <w:tcPr>
            <w:tcW w:w="0" w:type="auto"/>
            <w:gridSpan w:val="2"/>
            <w:vMerge/>
            <w:tcBorders>
              <w:top w:val="nil"/>
              <w:left w:val="single" w:sz="4" w:space="0" w:color="auto"/>
              <w:bottom w:val="nil"/>
              <w:right w:val="single" w:sz="4" w:space="0" w:color="auto"/>
            </w:tcBorders>
            <w:vAlign w:val="center"/>
            <w:hideMark/>
          </w:tcPr>
          <w:p w14:paraId="629A3061" w14:textId="77777777" w:rsidR="005D07A6" w:rsidRDefault="005D07A6">
            <w:pPr>
              <w:rPr>
                <w:rFonts w:eastAsiaTheme="minorEastAsia"/>
              </w:rPr>
            </w:pP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503EE92E" w14:textId="77777777" w:rsidR="005D07A6" w:rsidRDefault="005D07A6"/>
        </w:tc>
        <w:tc>
          <w:tcPr>
            <w:tcW w:w="165" w:type="dxa"/>
            <w:gridSpan w:val="3"/>
            <w:tcBorders>
              <w:top w:val="nil"/>
              <w:left w:val="single" w:sz="4" w:space="0" w:color="auto"/>
              <w:bottom w:val="nil"/>
              <w:right w:val="nil"/>
            </w:tcBorders>
            <w:tcMar>
              <w:top w:w="0" w:type="dxa"/>
              <w:left w:w="2" w:type="dxa"/>
              <w:bottom w:w="0" w:type="dxa"/>
              <w:right w:w="2" w:type="dxa"/>
            </w:tcMar>
            <w:hideMark/>
          </w:tcPr>
          <w:p w14:paraId="188471CA" w14:textId="77777777" w:rsidR="005D07A6" w:rsidRDefault="00F42774">
            <w:pPr>
              <w:pStyle w:val="TA1"/>
              <w:rPr>
                <w:rFonts w:eastAsiaTheme="minorEastAsia"/>
              </w:rPr>
            </w:pPr>
            <w:r>
              <w:t>HP graves</w:t>
            </w:r>
          </w:p>
        </w:tc>
        <w:tc>
          <w:tcPr>
            <w:tcW w:w="645" w:type="dxa"/>
            <w:tcBorders>
              <w:top w:val="nil"/>
              <w:left w:val="nil"/>
              <w:bottom w:val="nil"/>
              <w:right w:val="single" w:sz="4" w:space="0" w:color="auto"/>
            </w:tcBorders>
            <w:tcMar>
              <w:top w:w="0" w:type="dxa"/>
              <w:left w:w="2" w:type="dxa"/>
              <w:bottom w:w="0" w:type="dxa"/>
              <w:right w:w="2" w:type="dxa"/>
            </w:tcMar>
            <w:hideMark/>
          </w:tcPr>
          <w:p w14:paraId="2C0E1153" w14:textId="77777777" w:rsidR="005D07A6" w:rsidRDefault="00F42774">
            <w:pPr>
              <w:pStyle w:val="TA1"/>
              <w:jc w:val="right"/>
              <w:rPr>
                <w:rFonts w:eastAsiaTheme="minorEastAsia"/>
              </w:rPr>
            </w:pPr>
            <w:r>
              <w:t>– 26 616,7</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32BB66CF" w14:textId="77777777" w:rsidR="005D07A6" w:rsidRDefault="005D07A6"/>
        </w:tc>
      </w:tr>
      <w:tr w:rsidR="005D07A6" w14:paraId="178F560B" w14:textId="77777777">
        <w:tc>
          <w:tcPr>
            <w:tcW w:w="0" w:type="auto"/>
            <w:vMerge/>
            <w:tcBorders>
              <w:top w:val="nil"/>
              <w:left w:val="single" w:sz="4" w:space="0" w:color="auto"/>
              <w:bottom w:val="nil"/>
              <w:right w:val="nil"/>
            </w:tcBorders>
            <w:vAlign w:val="center"/>
            <w:hideMark/>
          </w:tcPr>
          <w:p w14:paraId="43F727EC" w14:textId="77777777" w:rsidR="005D07A6" w:rsidRDefault="005D07A6">
            <w:pPr>
              <w:rPr>
                <w:rFonts w:eastAsiaTheme="minorEastAsia"/>
              </w:rPr>
            </w:pPr>
          </w:p>
        </w:tc>
        <w:tc>
          <w:tcPr>
            <w:tcW w:w="0" w:type="auto"/>
            <w:gridSpan w:val="2"/>
            <w:vMerge/>
            <w:tcBorders>
              <w:top w:val="nil"/>
              <w:left w:val="single" w:sz="4" w:space="0" w:color="auto"/>
              <w:bottom w:val="nil"/>
              <w:right w:val="single" w:sz="4" w:space="0" w:color="auto"/>
            </w:tcBorders>
            <w:vAlign w:val="center"/>
            <w:hideMark/>
          </w:tcPr>
          <w:p w14:paraId="7BC352C3" w14:textId="77777777" w:rsidR="005D07A6" w:rsidRDefault="005D07A6">
            <w:pPr>
              <w:rPr>
                <w:rFonts w:eastAsiaTheme="minorEastAsia"/>
              </w:rPr>
            </w:pP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0F4AEE5E" w14:textId="77777777" w:rsidR="005D07A6" w:rsidRDefault="005D07A6"/>
        </w:tc>
        <w:tc>
          <w:tcPr>
            <w:tcW w:w="165" w:type="dxa"/>
            <w:gridSpan w:val="3"/>
            <w:tcBorders>
              <w:top w:val="nil"/>
              <w:left w:val="single" w:sz="4" w:space="0" w:color="auto"/>
              <w:bottom w:val="nil"/>
              <w:right w:val="nil"/>
            </w:tcBorders>
            <w:tcMar>
              <w:top w:w="0" w:type="dxa"/>
              <w:left w:w="2" w:type="dxa"/>
              <w:bottom w:w="0" w:type="dxa"/>
              <w:right w:w="2" w:type="dxa"/>
            </w:tcMar>
            <w:hideMark/>
          </w:tcPr>
          <w:p w14:paraId="48A73270" w14:textId="77777777" w:rsidR="005D07A6" w:rsidRDefault="00F42774">
            <w:pPr>
              <w:pStyle w:val="TA1"/>
              <w:rPr>
                <w:rFonts w:eastAsiaTheme="minorEastAsia"/>
              </w:rPr>
            </w:pPr>
            <w:r>
              <w:t>HP médium</w:t>
            </w:r>
          </w:p>
        </w:tc>
        <w:tc>
          <w:tcPr>
            <w:tcW w:w="645" w:type="dxa"/>
            <w:tcBorders>
              <w:top w:val="nil"/>
              <w:left w:val="nil"/>
              <w:bottom w:val="nil"/>
              <w:right w:val="single" w:sz="4" w:space="0" w:color="auto"/>
            </w:tcBorders>
            <w:tcMar>
              <w:top w:w="0" w:type="dxa"/>
              <w:left w:w="2" w:type="dxa"/>
              <w:bottom w:w="0" w:type="dxa"/>
              <w:right w:w="2" w:type="dxa"/>
            </w:tcMar>
            <w:hideMark/>
          </w:tcPr>
          <w:p w14:paraId="5146C58F" w14:textId="77777777" w:rsidR="005D07A6" w:rsidRDefault="00F42774">
            <w:pPr>
              <w:pStyle w:val="TA1"/>
              <w:jc w:val="right"/>
              <w:rPr>
                <w:rFonts w:eastAsiaTheme="minorEastAsia"/>
              </w:rPr>
            </w:pPr>
            <w:r>
              <w:t>– 131,0</w:t>
            </w:r>
          </w:p>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2315D4BF" w14:textId="77777777" w:rsidR="005D07A6" w:rsidRDefault="005D07A6"/>
        </w:tc>
      </w:tr>
      <w:tr w:rsidR="005D07A6" w14:paraId="68EB7288" w14:textId="77777777">
        <w:tc>
          <w:tcPr>
            <w:tcW w:w="0" w:type="auto"/>
            <w:vMerge/>
            <w:tcBorders>
              <w:top w:val="nil"/>
              <w:left w:val="single" w:sz="4" w:space="0" w:color="auto"/>
              <w:bottom w:val="nil"/>
              <w:right w:val="nil"/>
            </w:tcBorders>
            <w:vAlign w:val="center"/>
            <w:hideMark/>
          </w:tcPr>
          <w:p w14:paraId="70E48F60" w14:textId="77777777" w:rsidR="005D07A6" w:rsidRDefault="005D07A6">
            <w:pPr>
              <w:rPr>
                <w:rFonts w:eastAsiaTheme="minorEastAsia"/>
              </w:rPr>
            </w:pPr>
          </w:p>
        </w:tc>
        <w:tc>
          <w:tcPr>
            <w:tcW w:w="0" w:type="auto"/>
            <w:gridSpan w:val="2"/>
            <w:vMerge/>
            <w:tcBorders>
              <w:top w:val="nil"/>
              <w:left w:val="single" w:sz="4" w:space="0" w:color="auto"/>
              <w:bottom w:val="nil"/>
              <w:right w:val="single" w:sz="4" w:space="0" w:color="auto"/>
            </w:tcBorders>
            <w:vAlign w:val="center"/>
            <w:hideMark/>
          </w:tcPr>
          <w:p w14:paraId="0B5D5C9A" w14:textId="77777777" w:rsidR="005D07A6" w:rsidRDefault="005D07A6">
            <w:pPr>
              <w:rPr>
                <w:rFonts w:eastAsiaTheme="minorEastAsia"/>
              </w:rPr>
            </w:pPr>
          </w:p>
        </w:tc>
        <w:tc>
          <w:tcPr>
            <w:tcW w:w="720" w:type="dxa"/>
            <w:vMerge w:val="restart"/>
            <w:tcBorders>
              <w:top w:val="nil"/>
              <w:left w:val="single" w:sz="4" w:space="0" w:color="auto"/>
              <w:bottom w:val="nil"/>
              <w:right w:val="single" w:sz="4" w:space="0" w:color="auto"/>
            </w:tcBorders>
            <w:tcMar>
              <w:top w:w="0" w:type="dxa"/>
              <w:left w:w="2" w:type="dxa"/>
              <w:bottom w:w="0" w:type="dxa"/>
              <w:right w:w="2" w:type="dxa"/>
            </w:tcMar>
            <w:hideMark/>
          </w:tcPr>
          <w:p w14:paraId="17B623D7" w14:textId="77777777" w:rsidR="005D07A6" w:rsidRDefault="005D07A6"/>
        </w:tc>
        <w:tc>
          <w:tcPr>
            <w:tcW w:w="165" w:type="dxa"/>
            <w:gridSpan w:val="4"/>
            <w:tcBorders>
              <w:top w:val="nil"/>
              <w:left w:val="single" w:sz="4" w:space="0" w:color="auto"/>
              <w:bottom w:val="nil"/>
              <w:right w:val="single" w:sz="4" w:space="0" w:color="auto"/>
            </w:tcBorders>
            <w:tcMar>
              <w:top w:w="0" w:type="dxa"/>
              <w:left w:w="2" w:type="dxa"/>
              <w:bottom w:w="0" w:type="dxa"/>
              <w:right w:w="2" w:type="dxa"/>
            </w:tcMar>
            <w:hideMark/>
          </w:tcPr>
          <w:p w14:paraId="4189A2CE" w14:textId="77777777" w:rsidR="005D07A6" w:rsidRDefault="00F42774">
            <w:pPr>
              <w:pStyle w:val="TA1"/>
              <w:rPr>
                <w:rFonts w:eastAsiaTheme="minorEastAsia"/>
              </w:rPr>
            </w:pPr>
            <w:r>
              <w:t>Stocks produits finis enceintes (SF – SI)</w:t>
            </w:r>
          </w:p>
        </w:tc>
        <w:tc>
          <w:tcPr>
            <w:tcW w:w="720" w:type="dxa"/>
            <w:vMerge w:val="restart"/>
            <w:tcBorders>
              <w:top w:val="nil"/>
              <w:left w:val="single" w:sz="4" w:space="0" w:color="auto"/>
              <w:bottom w:val="nil"/>
              <w:right w:val="single" w:sz="4" w:space="0" w:color="auto"/>
            </w:tcBorders>
            <w:tcMar>
              <w:top w:w="0" w:type="dxa"/>
              <w:left w:w="2" w:type="dxa"/>
              <w:bottom w:w="0" w:type="dxa"/>
              <w:right w:w="2" w:type="dxa"/>
            </w:tcMar>
            <w:hideMark/>
          </w:tcPr>
          <w:p w14:paraId="58379F69" w14:textId="77777777" w:rsidR="005D07A6" w:rsidRDefault="00F42774">
            <w:pPr>
              <w:pStyle w:val="TA1"/>
              <w:jc w:val="right"/>
              <w:rPr>
                <w:rFonts w:eastAsiaTheme="minorEastAsia"/>
              </w:rPr>
            </w:pPr>
            <w:r>
              <w:t>– 901,20</w:t>
            </w:r>
          </w:p>
        </w:tc>
      </w:tr>
      <w:tr w:rsidR="005D07A6" w14:paraId="1579C5D7" w14:textId="77777777">
        <w:tc>
          <w:tcPr>
            <w:tcW w:w="0" w:type="auto"/>
            <w:vMerge/>
            <w:tcBorders>
              <w:top w:val="nil"/>
              <w:left w:val="single" w:sz="4" w:space="0" w:color="auto"/>
              <w:bottom w:val="nil"/>
              <w:right w:val="nil"/>
            </w:tcBorders>
            <w:vAlign w:val="center"/>
            <w:hideMark/>
          </w:tcPr>
          <w:p w14:paraId="2B95C11F" w14:textId="77777777" w:rsidR="005D07A6" w:rsidRDefault="005D07A6">
            <w:pPr>
              <w:rPr>
                <w:rFonts w:eastAsiaTheme="minorEastAsia"/>
              </w:rPr>
            </w:pPr>
          </w:p>
        </w:tc>
        <w:tc>
          <w:tcPr>
            <w:tcW w:w="0" w:type="auto"/>
            <w:gridSpan w:val="2"/>
            <w:vMerge/>
            <w:tcBorders>
              <w:top w:val="nil"/>
              <w:left w:val="single" w:sz="4" w:space="0" w:color="auto"/>
              <w:bottom w:val="nil"/>
              <w:right w:val="single" w:sz="4" w:space="0" w:color="auto"/>
            </w:tcBorders>
            <w:vAlign w:val="center"/>
            <w:hideMark/>
          </w:tcPr>
          <w:p w14:paraId="2B1E8373" w14:textId="77777777" w:rsidR="005D07A6" w:rsidRDefault="005D07A6">
            <w:pPr>
              <w:rPr>
                <w:rFonts w:eastAsiaTheme="minorEastAsia"/>
              </w:rPr>
            </w:pPr>
          </w:p>
        </w:tc>
        <w:tc>
          <w:tcPr>
            <w:tcW w:w="0" w:type="auto"/>
            <w:vMerge/>
            <w:tcBorders>
              <w:top w:val="nil"/>
              <w:left w:val="single" w:sz="4" w:space="0" w:color="auto"/>
              <w:bottom w:val="nil"/>
              <w:right w:val="single" w:sz="4" w:space="0" w:color="auto"/>
            </w:tcBorders>
            <w:vAlign w:val="center"/>
            <w:hideMark/>
          </w:tcPr>
          <w:p w14:paraId="4CA5ADAA" w14:textId="77777777" w:rsidR="005D07A6" w:rsidRDefault="005D07A6"/>
        </w:tc>
        <w:tc>
          <w:tcPr>
            <w:tcW w:w="165" w:type="dxa"/>
            <w:gridSpan w:val="2"/>
            <w:tcBorders>
              <w:top w:val="nil"/>
              <w:left w:val="single" w:sz="4" w:space="0" w:color="auto"/>
              <w:bottom w:val="nil"/>
              <w:right w:val="nil"/>
            </w:tcBorders>
            <w:tcMar>
              <w:top w:w="0" w:type="dxa"/>
              <w:left w:w="2" w:type="dxa"/>
              <w:bottom w:w="0" w:type="dxa"/>
              <w:right w:w="2" w:type="dxa"/>
            </w:tcMar>
            <w:hideMark/>
          </w:tcPr>
          <w:p w14:paraId="0B043943" w14:textId="77777777" w:rsidR="005D07A6" w:rsidRDefault="00F42774">
            <w:pPr>
              <w:pStyle w:val="TA1"/>
              <w:rPr>
                <w:rFonts w:eastAsiaTheme="minorEastAsia"/>
              </w:rPr>
            </w:pPr>
            <w:r>
              <w:t>Enceintes C</w:t>
            </w:r>
          </w:p>
          <w:p w14:paraId="3C158566" w14:textId="77777777" w:rsidR="005D07A6" w:rsidRDefault="00F42774">
            <w:pPr>
              <w:pStyle w:val="TA1"/>
              <w:rPr>
                <w:rFonts w:eastAsiaTheme="minorEastAsia"/>
              </w:rPr>
            </w:pPr>
            <w:r>
              <w:t>Enceintes HF</w:t>
            </w:r>
          </w:p>
        </w:tc>
        <w:tc>
          <w:tcPr>
            <w:tcW w:w="420" w:type="dxa"/>
            <w:gridSpan w:val="2"/>
            <w:tcBorders>
              <w:top w:val="nil"/>
              <w:left w:val="single" w:sz="4" w:space="0" w:color="auto"/>
              <w:bottom w:val="nil"/>
              <w:right w:val="single" w:sz="4" w:space="0" w:color="auto"/>
            </w:tcBorders>
            <w:tcMar>
              <w:top w:w="0" w:type="dxa"/>
              <w:left w:w="2" w:type="dxa"/>
              <w:bottom w:w="0" w:type="dxa"/>
              <w:right w:w="2" w:type="dxa"/>
            </w:tcMar>
            <w:hideMark/>
          </w:tcPr>
          <w:p w14:paraId="20AB6D87" w14:textId="77777777" w:rsidR="005D07A6" w:rsidRDefault="00F42774">
            <w:pPr>
              <w:pStyle w:val="TA1"/>
              <w:jc w:val="right"/>
              <w:rPr>
                <w:rFonts w:eastAsiaTheme="minorEastAsia"/>
              </w:rPr>
            </w:pPr>
            <w:r>
              <w:t>+ 2 592,0</w:t>
            </w:r>
          </w:p>
          <w:p w14:paraId="6B9594DB" w14:textId="77777777" w:rsidR="005D07A6" w:rsidRDefault="00F42774">
            <w:pPr>
              <w:pStyle w:val="TA1"/>
              <w:jc w:val="right"/>
              <w:rPr>
                <w:rFonts w:eastAsiaTheme="minorEastAsia"/>
              </w:rPr>
            </w:pPr>
            <w:r>
              <w:t>– 3 493,2</w:t>
            </w:r>
          </w:p>
        </w:tc>
        <w:tc>
          <w:tcPr>
            <w:tcW w:w="0" w:type="auto"/>
            <w:vMerge/>
            <w:tcBorders>
              <w:top w:val="nil"/>
              <w:left w:val="single" w:sz="4" w:space="0" w:color="auto"/>
              <w:bottom w:val="nil"/>
              <w:right w:val="single" w:sz="4" w:space="0" w:color="auto"/>
            </w:tcBorders>
            <w:vAlign w:val="center"/>
            <w:hideMark/>
          </w:tcPr>
          <w:p w14:paraId="647C73F7" w14:textId="77777777" w:rsidR="005D07A6" w:rsidRDefault="005D07A6">
            <w:pPr>
              <w:rPr>
                <w:rFonts w:eastAsiaTheme="minorEastAsia"/>
              </w:rPr>
            </w:pPr>
          </w:p>
        </w:tc>
      </w:tr>
      <w:tr w:rsidR="005D07A6" w14:paraId="14094F29" w14:textId="77777777">
        <w:tc>
          <w:tcPr>
            <w:tcW w:w="165" w:type="dxa"/>
            <w:gridSpan w:val="3"/>
            <w:tcBorders>
              <w:top w:val="nil"/>
              <w:left w:val="single" w:sz="4" w:space="0" w:color="auto"/>
              <w:bottom w:val="nil"/>
              <w:right w:val="single" w:sz="4" w:space="0" w:color="auto"/>
            </w:tcBorders>
            <w:tcMar>
              <w:top w:w="0" w:type="dxa"/>
              <w:left w:w="2" w:type="dxa"/>
              <w:bottom w:w="0" w:type="dxa"/>
              <w:right w:w="2" w:type="dxa"/>
            </w:tcMar>
            <w:hideMark/>
          </w:tcPr>
          <w:p w14:paraId="7BA78D49" w14:textId="77777777" w:rsidR="005D07A6" w:rsidRDefault="00F42774">
            <w:pPr>
              <w:pStyle w:val="TA1"/>
              <w:rPr>
                <w:rFonts w:eastAsiaTheme="minorEastAsia"/>
              </w:rPr>
            </w:pPr>
            <w:r>
              <w:t>Charges et dotations</w:t>
            </w:r>
          </w:p>
          <w:p w14:paraId="65E434F6" w14:textId="77777777" w:rsidR="005D07A6" w:rsidRDefault="00F42774">
            <w:pPr>
              <w:pStyle w:val="TA1"/>
              <w:rPr>
                <w:rFonts w:eastAsiaTheme="minorEastAsia"/>
              </w:rPr>
            </w:pPr>
            <w:r>
              <w:t>Résultat</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ED09C8D" w14:textId="77777777" w:rsidR="005D07A6" w:rsidRDefault="00F42774">
            <w:pPr>
              <w:pStyle w:val="TA1"/>
              <w:jc w:val="right"/>
              <w:rPr>
                <w:rFonts w:eastAsiaTheme="minorEastAsia"/>
              </w:rPr>
            </w:pPr>
            <w:r>
              <w:t>85 900,0</w:t>
            </w:r>
          </w:p>
          <w:p w14:paraId="2412CF9A" w14:textId="77777777" w:rsidR="005D07A6" w:rsidRDefault="00F42774">
            <w:pPr>
              <w:pStyle w:val="TA1"/>
              <w:jc w:val="right"/>
              <w:rPr>
                <w:rFonts w:eastAsiaTheme="minorEastAsia"/>
              </w:rPr>
            </w:pPr>
            <w:r>
              <w:t>55 505,5</w:t>
            </w:r>
          </w:p>
        </w:tc>
        <w:tc>
          <w:tcPr>
            <w:tcW w:w="165" w:type="dxa"/>
            <w:tcBorders>
              <w:top w:val="nil"/>
              <w:left w:val="single" w:sz="4" w:space="0" w:color="auto"/>
              <w:bottom w:val="nil"/>
              <w:right w:val="nil"/>
            </w:tcBorders>
            <w:tcMar>
              <w:top w:w="0" w:type="dxa"/>
              <w:left w:w="2" w:type="dxa"/>
              <w:bottom w:w="0" w:type="dxa"/>
              <w:right w:w="2" w:type="dxa"/>
            </w:tcMar>
            <w:hideMark/>
          </w:tcPr>
          <w:p w14:paraId="00B2FC86" w14:textId="77777777" w:rsidR="005D07A6" w:rsidRDefault="005D07A6"/>
        </w:tc>
        <w:tc>
          <w:tcPr>
            <w:tcW w:w="855" w:type="dxa"/>
            <w:tcBorders>
              <w:top w:val="nil"/>
              <w:left w:val="nil"/>
              <w:bottom w:val="nil"/>
              <w:right w:val="nil"/>
            </w:tcBorders>
            <w:tcMar>
              <w:top w:w="0" w:type="dxa"/>
              <w:left w:w="2" w:type="dxa"/>
              <w:bottom w:w="0" w:type="dxa"/>
              <w:right w:w="2" w:type="dxa"/>
            </w:tcMar>
            <w:hideMark/>
          </w:tcPr>
          <w:p w14:paraId="6D8E4F48" w14:textId="77777777" w:rsidR="005D07A6" w:rsidRDefault="005D07A6"/>
        </w:tc>
        <w:tc>
          <w:tcPr>
            <w:tcW w:w="45" w:type="dxa"/>
            <w:gridSpan w:val="2"/>
            <w:tcBorders>
              <w:top w:val="nil"/>
              <w:left w:val="nil"/>
              <w:bottom w:val="nil"/>
              <w:right w:val="single" w:sz="4" w:space="0" w:color="auto"/>
            </w:tcBorders>
            <w:tcMar>
              <w:top w:w="0" w:type="dxa"/>
              <w:left w:w="2" w:type="dxa"/>
              <w:bottom w:w="0" w:type="dxa"/>
              <w:right w:w="2" w:type="dxa"/>
            </w:tcMar>
            <w:hideMark/>
          </w:tcPr>
          <w:p w14:paraId="07847C9D" w14:textId="77777777" w:rsidR="005D07A6" w:rsidRDefault="005D07A6"/>
        </w:tc>
        <w:tc>
          <w:tcPr>
            <w:tcW w:w="720" w:type="dxa"/>
            <w:tcBorders>
              <w:top w:val="nil"/>
              <w:left w:val="single" w:sz="4" w:space="0" w:color="auto"/>
              <w:bottom w:val="nil"/>
              <w:right w:val="single" w:sz="4" w:space="0" w:color="auto"/>
            </w:tcBorders>
            <w:tcMar>
              <w:top w:w="0" w:type="dxa"/>
              <w:left w:w="2" w:type="dxa"/>
              <w:bottom w:w="0" w:type="dxa"/>
              <w:right w:w="2" w:type="dxa"/>
            </w:tcMar>
            <w:hideMark/>
          </w:tcPr>
          <w:p w14:paraId="00AD5101" w14:textId="77777777" w:rsidR="005D07A6" w:rsidRDefault="005D07A6"/>
        </w:tc>
      </w:tr>
      <w:tr w:rsidR="005D07A6" w14:paraId="5E9052D7" w14:textId="77777777">
        <w:tc>
          <w:tcPr>
            <w:tcW w:w="165" w:type="dxa"/>
            <w:gridSpan w:val="3"/>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42E896C"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85ADC0C" w14:textId="77777777" w:rsidR="005D07A6" w:rsidRDefault="00F42774">
            <w:pPr>
              <w:pStyle w:val="TA1"/>
              <w:jc w:val="right"/>
              <w:rPr>
                <w:rFonts w:eastAsiaTheme="minorEastAsia"/>
              </w:rPr>
            </w:pPr>
            <w:r>
              <w:t>196 160,1</w:t>
            </w:r>
          </w:p>
        </w:tc>
        <w:tc>
          <w:tcPr>
            <w:tcW w:w="165" w:type="dxa"/>
            <w:gridSpan w:val="4"/>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0B8986A"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4BC1578" w14:textId="77777777" w:rsidR="005D07A6" w:rsidRDefault="00F42774">
            <w:pPr>
              <w:pStyle w:val="TA1"/>
              <w:jc w:val="right"/>
              <w:rPr>
                <w:rFonts w:eastAsiaTheme="minorEastAsia"/>
              </w:rPr>
            </w:pPr>
            <w:r>
              <w:t>196 160,1</w:t>
            </w:r>
          </w:p>
        </w:tc>
      </w:tr>
      <w:tr w:rsidR="005D07A6" w14:paraId="34F11573" w14:textId="77777777">
        <w:tc>
          <w:tcPr>
            <w:tcW w:w="165" w:type="dxa"/>
            <w:tcBorders>
              <w:top w:val="nil"/>
              <w:left w:val="nil"/>
              <w:bottom w:val="nil"/>
              <w:right w:val="nil"/>
            </w:tcBorders>
            <w:tcMar>
              <w:top w:w="0" w:type="dxa"/>
              <w:left w:w="2" w:type="dxa"/>
              <w:bottom w:w="0" w:type="dxa"/>
              <w:right w:w="2" w:type="dxa"/>
            </w:tcMar>
            <w:hideMark/>
          </w:tcPr>
          <w:p w14:paraId="61C6EF6D" w14:textId="77777777" w:rsidR="005D07A6" w:rsidRDefault="005D07A6"/>
        </w:tc>
        <w:tc>
          <w:tcPr>
            <w:tcW w:w="1320" w:type="dxa"/>
            <w:tcBorders>
              <w:top w:val="nil"/>
              <w:left w:val="nil"/>
              <w:bottom w:val="nil"/>
              <w:right w:val="nil"/>
            </w:tcBorders>
            <w:tcMar>
              <w:top w:w="0" w:type="dxa"/>
              <w:left w:w="2" w:type="dxa"/>
              <w:bottom w:w="0" w:type="dxa"/>
              <w:right w:w="2" w:type="dxa"/>
            </w:tcMar>
            <w:hideMark/>
          </w:tcPr>
          <w:p w14:paraId="27DC02F7" w14:textId="77777777" w:rsidR="005D07A6" w:rsidRDefault="005D07A6"/>
        </w:tc>
        <w:tc>
          <w:tcPr>
            <w:tcW w:w="45" w:type="dxa"/>
            <w:tcBorders>
              <w:top w:val="nil"/>
              <w:left w:val="nil"/>
              <w:bottom w:val="nil"/>
              <w:right w:val="nil"/>
            </w:tcBorders>
            <w:tcMar>
              <w:top w:w="0" w:type="dxa"/>
              <w:left w:w="2" w:type="dxa"/>
              <w:bottom w:w="0" w:type="dxa"/>
              <w:right w:w="2" w:type="dxa"/>
            </w:tcMar>
            <w:hideMark/>
          </w:tcPr>
          <w:p w14:paraId="3E6A7374" w14:textId="77777777" w:rsidR="005D07A6" w:rsidRDefault="005D07A6"/>
        </w:tc>
        <w:tc>
          <w:tcPr>
            <w:tcW w:w="720" w:type="dxa"/>
            <w:tcBorders>
              <w:top w:val="nil"/>
              <w:left w:val="nil"/>
              <w:bottom w:val="nil"/>
              <w:right w:val="nil"/>
            </w:tcBorders>
            <w:tcMar>
              <w:top w:w="0" w:type="dxa"/>
              <w:left w:w="2" w:type="dxa"/>
              <w:bottom w:w="0" w:type="dxa"/>
              <w:right w:w="2" w:type="dxa"/>
            </w:tcMar>
            <w:hideMark/>
          </w:tcPr>
          <w:p w14:paraId="14DC0C0D" w14:textId="77777777" w:rsidR="005D07A6" w:rsidRDefault="005D07A6"/>
        </w:tc>
        <w:tc>
          <w:tcPr>
            <w:tcW w:w="165" w:type="dxa"/>
            <w:tcBorders>
              <w:top w:val="nil"/>
              <w:left w:val="nil"/>
              <w:bottom w:val="nil"/>
              <w:right w:val="nil"/>
            </w:tcBorders>
            <w:tcMar>
              <w:top w:w="0" w:type="dxa"/>
              <w:left w:w="2" w:type="dxa"/>
              <w:bottom w:w="0" w:type="dxa"/>
              <w:right w:w="2" w:type="dxa"/>
            </w:tcMar>
            <w:hideMark/>
          </w:tcPr>
          <w:p w14:paraId="58C6F935" w14:textId="77777777" w:rsidR="005D07A6" w:rsidRDefault="005D07A6"/>
        </w:tc>
        <w:tc>
          <w:tcPr>
            <w:tcW w:w="855" w:type="dxa"/>
            <w:tcBorders>
              <w:top w:val="nil"/>
              <w:left w:val="nil"/>
              <w:bottom w:val="nil"/>
              <w:right w:val="nil"/>
            </w:tcBorders>
            <w:tcMar>
              <w:top w:w="0" w:type="dxa"/>
              <w:left w:w="2" w:type="dxa"/>
              <w:bottom w:w="0" w:type="dxa"/>
              <w:right w:w="2" w:type="dxa"/>
            </w:tcMar>
            <w:hideMark/>
          </w:tcPr>
          <w:p w14:paraId="64533FB7" w14:textId="77777777" w:rsidR="005D07A6" w:rsidRDefault="005D07A6"/>
        </w:tc>
        <w:tc>
          <w:tcPr>
            <w:tcW w:w="45" w:type="dxa"/>
            <w:tcBorders>
              <w:top w:val="nil"/>
              <w:left w:val="nil"/>
              <w:bottom w:val="nil"/>
              <w:right w:val="nil"/>
            </w:tcBorders>
            <w:tcMar>
              <w:top w:w="0" w:type="dxa"/>
              <w:left w:w="2" w:type="dxa"/>
              <w:bottom w:w="0" w:type="dxa"/>
              <w:right w:w="2" w:type="dxa"/>
            </w:tcMar>
            <w:hideMark/>
          </w:tcPr>
          <w:p w14:paraId="68C04B09" w14:textId="77777777" w:rsidR="005D07A6" w:rsidRDefault="005D07A6"/>
        </w:tc>
        <w:tc>
          <w:tcPr>
            <w:tcW w:w="645" w:type="dxa"/>
            <w:tcBorders>
              <w:top w:val="nil"/>
              <w:left w:val="nil"/>
              <w:bottom w:val="nil"/>
              <w:right w:val="nil"/>
            </w:tcBorders>
            <w:tcMar>
              <w:top w:w="0" w:type="dxa"/>
              <w:left w:w="2" w:type="dxa"/>
              <w:bottom w:w="0" w:type="dxa"/>
              <w:right w:w="2" w:type="dxa"/>
            </w:tcMar>
            <w:hideMark/>
          </w:tcPr>
          <w:p w14:paraId="340B8644" w14:textId="77777777" w:rsidR="005D07A6" w:rsidRDefault="005D07A6"/>
        </w:tc>
        <w:tc>
          <w:tcPr>
            <w:tcW w:w="720" w:type="dxa"/>
            <w:tcBorders>
              <w:top w:val="nil"/>
              <w:left w:val="nil"/>
              <w:bottom w:val="nil"/>
              <w:right w:val="nil"/>
            </w:tcBorders>
            <w:tcMar>
              <w:top w:w="0" w:type="dxa"/>
              <w:left w:w="2" w:type="dxa"/>
              <w:bottom w:w="0" w:type="dxa"/>
              <w:right w:w="2" w:type="dxa"/>
            </w:tcMar>
            <w:hideMark/>
          </w:tcPr>
          <w:p w14:paraId="392AAB0E" w14:textId="77777777" w:rsidR="005D07A6" w:rsidRDefault="005D07A6"/>
        </w:tc>
      </w:tr>
    </w:tbl>
    <w:p w14:paraId="1FD09CB2" w14:textId="77777777" w:rsidR="005D07A6" w:rsidRDefault="00F42774">
      <w:pPr>
        <w:pStyle w:val="finfilet"/>
        <w:rPr>
          <w:rFonts w:eastAsiaTheme="minorEastAsia"/>
        </w:rPr>
      </w:pPr>
      <w:r>
        <w:t>Fin Corrige</w:t>
      </w:r>
    </w:p>
    <w:p w14:paraId="211809D2" w14:textId="77777777" w:rsidR="005D07A6" w:rsidRDefault="00F42774">
      <w:pPr>
        <w:pStyle w:val="finfiletr"/>
      </w:pPr>
      <w:r>
        <w:t>Fin Exercice</w:t>
      </w:r>
    </w:p>
    <w:p w14:paraId="323D76C3" w14:textId="77777777" w:rsidR="005D07A6" w:rsidRDefault="00F42774">
      <w:pPr>
        <w:pStyle w:val="debutfiletr"/>
      </w:pPr>
      <w:r>
        <w:t>Exercice_n-4</w:t>
      </w:r>
    </w:p>
    <w:p w14:paraId="7B01D687" w14:textId="77777777" w:rsidR="005D07A6" w:rsidRDefault="00F42774">
      <w:pPr>
        <w:pStyle w:val="LibelleRubrique"/>
      </w:pPr>
      <w:r>
        <w:t xml:space="preserve">Exercice </w:t>
      </w:r>
    </w:p>
    <w:p w14:paraId="108FE205" w14:textId="77777777" w:rsidR="005D07A6" w:rsidRDefault="00F42774">
      <w:pPr>
        <w:pStyle w:val="TitreRubrique"/>
      </w:pPr>
      <w:r>
        <w:t>Corrélation linéaire</w:t>
      </w:r>
    </w:p>
    <w:p w14:paraId="7ADE9FB9" w14:textId="77777777" w:rsidR="005D07A6" w:rsidRDefault="00F42774">
      <w:pPr>
        <w:pStyle w:val="debutfilet"/>
      </w:pPr>
      <w:r>
        <w:t>Enonce</w:t>
      </w:r>
    </w:p>
    <w:p w14:paraId="49A2681A" w14:textId="77777777" w:rsidR="005D07A6" w:rsidRDefault="00F42774">
      <w:pPr>
        <w:pStyle w:val="LibelleRubrique"/>
      </w:pPr>
      <w:r>
        <w:t>Énoncé</w:t>
      </w:r>
    </w:p>
    <w:p w14:paraId="76809CDC" w14:textId="77777777" w:rsidR="005D07A6" w:rsidRDefault="00F42774">
      <w:pPr>
        <w:pStyle w:val="CT"/>
      </w:pPr>
      <w:r>
        <w:t>L’activité du centre « Approvisionnement » de la société Braque est exprimée en tonnes de matières consommées.</w:t>
      </w:r>
    </w:p>
    <w:p w14:paraId="3F0EA7F2" w14:textId="77777777" w:rsidR="005D07A6" w:rsidRDefault="00F42774">
      <w:pPr>
        <w:pStyle w:val="TexteEnonceQuestion"/>
      </w:pPr>
      <w:r>
        <w:rPr>
          <w:rStyle w:val="NEnonceQuestion"/>
        </w:rPr>
        <w:t>1. </w:t>
      </w:r>
      <w:r>
        <w:t>Rappelez comment sélectionner une unité d’œuvre.</w:t>
      </w:r>
    </w:p>
    <w:p w14:paraId="304DCADA" w14:textId="77777777" w:rsidR="005D07A6" w:rsidRDefault="00F42774">
      <w:pPr>
        <w:pStyle w:val="TexteEnonceQuestion"/>
      </w:pPr>
      <w:r>
        <w:rPr>
          <w:rStyle w:val="NEnonceQuestion"/>
        </w:rPr>
        <w:t>2. </w:t>
      </w:r>
      <w:r>
        <w:t>Justifiez, par le calcul de trois coefficients de corrélation linéaire, l’imputation des charges indirectes d’approvisionnement aux coûts. Seuls les résultats sont exigés.</w:t>
      </w:r>
    </w:p>
    <w:p w14:paraId="336BE22A" w14:textId="77777777" w:rsidR="005D07A6" w:rsidRDefault="00F42774">
      <w:pPr>
        <w:pStyle w:val="CT"/>
      </w:pPr>
      <w:r>
        <w:t>Les calculs seront faits en retenant les données des années 2003 à 2007 du tableau suivant :</w:t>
      </w:r>
    </w:p>
    <w:tbl>
      <w:tblPr>
        <w:tblW w:w="6883" w:type="dxa"/>
        <w:tblInd w:w="1701" w:type="dxa"/>
        <w:tblLook w:val="04A0" w:firstRow="1" w:lastRow="0" w:firstColumn="1" w:lastColumn="0" w:noHBand="0" w:noVBand="1"/>
      </w:tblPr>
      <w:tblGrid>
        <w:gridCol w:w="2748"/>
        <w:gridCol w:w="827"/>
        <w:gridCol w:w="827"/>
        <w:gridCol w:w="827"/>
        <w:gridCol w:w="827"/>
        <w:gridCol w:w="827"/>
      </w:tblGrid>
      <w:tr w:rsidR="005D07A6" w14:paraId="47E75058" w14:textId="77777777">
        <w:tc>
          <w:tcPr>
            <w:tcW w:w="171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CD03E59" w14:textId="77777777" w:rsidR="005D07A6" w:rsidRDefault="00F42774">
            <w:pPr>
              <w:pStyle w:val="TA1"/>
              <w:jc w:val="center"/>
              <w:rPr>
                <w:rFonts w:eastAsiaTheme="minorEastAsia"/>
              </w:rPr>
            </w:pPr>
            <w:r>
              <w:rPr>
                <w:b/>
                <w:bCs/>
              </w:rPr>
              <w:t>Années</w:t>
            </w:r>
          </w:p>
        </w:tc>
        <w:tc>
          <w:tcPr>
            <w:tcW w:w="69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BF4B50B" w14:textId="77777777" w:rsidR="005D07A6" w:rsidRDefault="00F42774">
            <w:pPr>
              <w:pStyle w:val="TA1"/>
              <w:jc w:val="center"/>
              <w:rPr>
                <w:rFonts w:eastAsiaTheme="minorEastAsia"/>
              </w:rPr>
            </w:pPr>
            <w:r>
              <w:rPr>
                <w:b/>
                <w:bCs/>
              </w:rPr>
              <w:t>2003</w:t>
            </w:r>
          </w:p>
        </w:tc>
        <w:tc>
          <w:tcPr>
            <w:tcW w:w="69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5D26999" w14:textId="77777777" w:rsidR="005D07A6" w:rsidRDefault="00F42774">
            <w:pPr>
              <w:pStyle w:val="TA1"/>
              <w:jc w:val="center"/>
              <w:rPr>
                <w:rFonts w:eastAsiaTheme="minorEastAsia"/>
              </w:rPr>
            </w:pPr>
            <w:r>
              <w:rPr>
                <w:b/>
                <w:bCs/>
              </w:rPr>
              <w:t>2004</w:t>
            </w:r>
          </w:p>
        </w:tc>
        <w:tc>
          <w:tcPr>
            <w:tcW w:w="69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429DD24" w14:textId="77777777" w:rsidR="005D07A6" w:rsidRDefault="00F42774">
            <w:pPr>
              <w:pStyle w:val="TA1"/>
              <w:jc w:val="center"/>
              <w:rPr>
                <w:rFonts w:eastAsiaTheme="minorEastAsia"/>
              </w:rPr>
            </w:pPr>
            <w:r>
              <w:rPr>
                <w:b/>
                <w:bCs/>
              </w:rPr>
              <w:t>2005</w:t>
            </w:r>
          </w:p>
        </w:tc>
        <w:tc>
          <w:tcPr>
            <w:tcW w:w="69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515574A" w14:textId="77777777" w:rsidR="005D07A6" w:rsidRDefault="00F42774">
            <w:pPr>
              <w:pStyle w:val="TA1"/>
              <w:jc w:val="center"/>
              <w:rPr>
                <w:rFonts w:eastAsiaTheme="minorEastAsia"/>
              </w:rPr>
            </w:pPr>
            <w:r>
              <w:rPr>
                <w:b/>
                <w:bCs/>
              </w:rPr>
              <w:t>2006</w:t>
            </w:r>
          </w:p>
        </w:tc>
        <w:tc>
          <w:tcPr>
            <w:tcW w:w="69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EC287FA" w14:textId="77777777" w:rsidR="005D07A6" w:rsidRDefault="00F42774">
            <w:pPr>
              <w:pStyle w:val="TA1"/>
              <w:jc w:val="center"/>
              <w:rPr>
                <w:rFonts w:eastAsiaTheme="minorEastAsia"/>
              </w:rPr>
            </w:pPr>
            <w:r>
              <w:rPr>
                <w:b/>
                <w:bCs/>
              </w:rPr>
              <w:t>2007</w:t>
            </w:r>
          </w:p>
        </w:tc>
      </w:tr>
      <w:tr w:rsidR="005D07A6" w14:paraId="4474D9E1" w14:textId="77777777">
        <w:tc>
          <w:tcPr>
            <w:tcW w:w="17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0022799" w14:textId="77777777" w:rsidR="005D07A6" w:rsidRDefault="00F42774">
            <w:pPr>
              <w:pStyle w:val="TA1"/>
              <w:rPr>
                <w:rFonts w:eastAsiaTheme="minorEastAsia"/>
              </w:rPr>
            </w:pPr>
            <w:r>
              <w:lastRenderedPageBreak/>
              <w:t>Charges indirectes d’approvisionnement (euros)</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DB5D413" w14:textId="77777777" w:rsidR="005D07A6" w:rsidRDefault="00F42774">
            <w:pPr>
              <w:pStyle w:val="TA1"/>
              <w:jc w:val="right"/>
              <w:rPr>
                <w:rFonts w:eastAsiaTheme="minorEastAsia"/>
              </w:rPr>
            </w:pPr>
            <w:r>
              <w:t>15 500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395BF4A" w14:textId="77777777" w:rsidR="005D07A6" w:rsidRDefault="00F42774">
            <w:pPr>
              <w:pStyle w:val="TA1"/>
              <w:jc w:val="right"/>
              <w:rPr>
                <w:rFonts w:eastAsiaTheme="minorEastAsia"/>
              </w:rPr>
            </w:pPr>
            <w:r>
              <w:t>14 000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2D819F4" w14:textId="77777777" w:rsidR="005D07A6" w:rsidRDefault="00F42774">
            <w:pPr>
              <w:pStyle w:val="TA1"/>
              <w:jc w:val="right"/>
              <w:rPr>
                <w:rFonts w:eastAsiaTheme="minorEastAsia"/>
              </w:rPr>
            </w:pPr>
            <w:r>
              <w:t>18 000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7687597" w14:textId="77777777" w:rsidR="005D07A6" w:rsidRDefault="00F42774">
            <w:pPr>
              <w:pStyle w:val="TA1"/>
              <w:jc w:val="right"/>
              <w:rPr>
                <w:rFonts w:eastAsiaTheme="minorEastAsia"/>
              </w:rPr>
            </w:pPr>
            <w:r>
              <w:t>22 500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D73F46D" w14:textId="77777777" w:rsidR="005D07A6" w:rsidRDefault="00F42774">
            <w:pPr>
              <w:pStyle w:val="TA1"/>
              <w:jc w:val="right"/>
              <w:rPr>
                <w:rFonts w:eastAsiaTheme="minorEastAsia"/>
              </w:rPr>
            </w:pPr>
            <w:r>
              <w:t>24 000</w:t>
            </w:r>
          </w:p>
        </w:tc>
      </w:tr>
      <w:tr w:rsidR="005D07A6" w14:paraId="64092CFB" w14:textId="77777777">
        <w:tc>
          <w:tcPr>
            <w:tcW w:w="17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1D7763D" w14:textId="77777777" w:rsidR="005D07A6" w:rsidRDefault="00F42774">
            <w:pPr>
              <w:pStyle w:val="TA1"/>
              <w:rPr>
                <w:rFonts w:eastAsiaTheme="minorEastAsia"/>
              </w:rPr>
            </w:pPr>
            <w:r>
              <w:t>Tonnes consommées</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1DFD268" w14:textId="77777777" w:rsidR="005D07A6" w:rsidRDefault="00F42774">
            <w:pPr>
              <w:pStyle w:val="TA1"/>
              <w:jc w:val="right"/>
              <w:rPr>
                <w:rFonts w:eastAsiaTheme="minorEastAsia"/>
              </w:rPr>
            </w:pPr>
            <w:r>
              <w:t>60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297CE3B" w14:textId="77777777" w:rsidR="005D07A6" w:rsidRDefault="00F42774">
            <w:pPr>
              <w:pStyle w:val="TA1"/>
              <w:jc w:val="right"/>
              <w:rPr>
                <w:rFonts w:eastAsiaTheme="minorEastAsia"/>
              </w:rPr>
            </w:pPr>
            <w:r>
              <w:t>55</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4CF56DE" w14:textId="77777777" w:rsidR="005D07A6" w:rsidRDefault="00F42774">
            <w:pPr>
              <w:pStyle w:val="TA1"/>
              <w:jc w:val="right"/>
              <w:rPr>
                <w:rFonts w:eastAsiaTheme="minorEastAsia"/>
              </w:rPr>
            </w:pPr>
            <w:r>
              <w:t>75</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1446DA6" w14:textId="77777777" w:rsidR="005D07A6" w:rsidRDefault="00F42774">
            <w:pPr>
              <w:pStyle w:val="TA1"/>
              <w:jc w:val="right"/>
              <w:rPr>
                <w:rFonts w:eastAsiaTheme="minorEastAsia"/>
              </w:rPr>
            </w:pPr>
            <w:r>
              <w:t>85</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92F3B78" w14:textId="77777777" w:rsidR="005D07A6" w:rsidRDefault="00F42774">
            <w:pPr>
              <w:pStyle w:val="TA1"/>
              <w:jc w:val="right"/>
              <w:rPr>
                <w:rFonts w:eastAsiaTheme="minorEastAsia"/>
              </w:rPr>
            </w:pPr>
            <w:r>
              <w:t>90</w:t>
            </w:r>
          </w:p>
        </w:tc>
      </w:tr>
      <w:tr w:rsidR="005D07A6" w14:paraId="35FFEE83" w14:textId="77777777">
        <w:tc>
          <w:tcPr>
            <w:tcW w:w="17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F0F7BF0" w14:textId="77777777" w:rsidR="005D07A6" w:rsidRDefault="00F42774">
            <w:pPr>
              <w:pStyle w:val="TA1"/>
              <w:rPr>
                <w:rFonts w:eastAsiaTheme="minorEastAsia"/>
              </w:rPr>
            </w:pPr>
            <w:r>
              <w:t>Prix d’achat (euros)</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0128F77" w14:textId="77777777" w:rsidR="005D07A6" w:rsidRDefault="00F42774">
            <w:pPr>
              <w:pStyle w:val="TA1"/>
              <w:jc w:val="right"/>
              <w:rPr>
                <w:rFonts w:eastAsiaTheme="minorEastAsia"/>
              </w:rPr>
            </w:pPr>
            <w:r>
              <w:t>40 000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3168394" w14:textId="77777777" w:rsidR="005D07A6" w:rsidRDefault="00F42774">
            <w:pPr>
              <w:pStyle w:val="TA1"/>
              <w:jc w:val="right"/>
              <w:rPr>
                <w:rFonts w:eastAsiaTheme="minorEastAsia"/>
              </w:rPr>
            </w:pPr>
            <w:r>
              <w:t>35 000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1C272DA" w14:textId="77777777" w:rsidR="005D07A6" w:rsidRDefault="00F42774">
            <w:pPr>
              <w:pStyle w:val="TA1"/>
              <w:jc w:val="right"/>
              <w:rPr>
                <w:rFonts w:eastAsiaTheme="minorEastAsia"/>
              </w:rPr>
            </w:pPr>
            <w:r>
              <w:t>43 000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BBCBD82" w14:textId="77777777" w:rsidR="005D07A6" w:rsidRDefault="00F42774">
            <w:pPr>
              <w:pStyle w:val="TA1"/>
              <w:jc w:val="right"/>
              <w:rPr>
                <w:rFonts w:eastAsiaTheme="minorEastAsia"/>
              </w:rPr>
            </w:pPr>
            <w:r>
              <w:t>48 000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2BF0A6E" w14:textId="77777777" w:rsidR="005D07A6" w:rsidRDefault="00F42774">
            <w:pPr>
              <w:pStyle w:val="TA1"/>
              <w:jc w:val="right"/>
              <w:rPr>
                <w:rFonts w:eastAsiaTheme="minorEastAsia"/>
              </w:rPr>
            </w:pPr>
            <w:r>
              <w:t>65 000</w:t>
            </w:r>
          </w:p>
        </w:tc>
      </w:tr>
      <w:tr w:rsidR="005D07A6" w14:paraId="255001C2" w14:textId="77777777">
        <w:tc>
          <w:tcPr>
            <w:tcW w:w="17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66DD52F" w14:textId="77777777" w:rsidR="005D07A6" w:rsidRDefault="00F42774">
            <w:pPr>
              <w:pStyle w:val="TA1"/>
              <w:rPr>
                <w:rFonts w:eastAsiaTheme="minorEastAsia"/>
              </w:rPr>
            </w:pPr>
            <w:r>
              <w:t>Nombre de commandes</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E982B64" w14:textId="77777777" w:rsidR="005D07A6" w:rsidRDefault="00F42774">
            <w:pPr>
              <w:pStyle w:val="TA1"/>
              <w:jc w:val="right"/>
              <w:rPr>
                <w:rFonts w:eastAsiaTheme="minorEastAsia"/>
              </w:rPr>
            </w:pPr>
            <w:r>
              <w:t>50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EC56177" w14:textId="77777777" w:rsidR="005D07A6" w:rsidRDefault="00F42774">
            <w:pPr>
              <w:pStyle w:val="TA1"/>
              <w:jc w:val="right"/>
              <w:rPr>
                <w:rFonts w:eastAsiaTheme="minorEastAsia"/>
              </w:rPr>
            </w:pPr>
            <w:r>
              <w:t>52</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538C64F" w14:textId="77777777" w:rsidR="005D07A6" w:rsidRDefault="00F42774">
            <w:pPr>
              <w:pStyle w:val="TA1"/>
              <w:jc w:val="right"/>
              <w:rPr>
                <w:rFonts w:eastAsiaTheme="minorEastAsia"/>
              </w:rPr>
            </w:pPr>
            <w:r>
              <w:t>48</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E1C8164" w14:textId="77777777" w:rsidR="005D07A6" w:rsidRDefault="00F42774">
            <w:pPr>
              <w:pStyle w:val="TA1"/>
              <w:jc w:val="right"/>
              <w:rPr>
                <w:rFonts w:eastAsiaTheme="minorEastAsia"/>
              </w:rPr>
            </w:pPr>
            <w:r>
              <w:t>50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69CB81C" w14:textId="77777777" w:rsidR="005D07A6" w:rsidRDefault="00F42774">
            <w:pPr>
              <w:pStyle w:val="TA1"/>
              <w:jc w:val="right"/>
              <w:rPr>
                <w:rFonts w:eastAsiaTheme="minorEastAsia"/>
              </w:rPr>
            </w:pPr>
            <w:r>
              <w:t>48</w:t>
            </w:r>
          </w:p>
        </w:tc>
      </w:tr>
    </w:tbl>
    <w:p w14:paraId="0960456C" w14:textId="77777777" w:rsidR="005D07A6" w:rsidRDefault="00F42774">
      <w:pPr>
        <w:pStyle w:val="finfilet"/>
        <w:rPr>
          <w:rFonts w:eastAsiaTheme="minorEastAsia"/>
        </w:rPr>
      </w:pPr>
      <w:r>
        <w:t>Fin Enonce</w:t>
      </w:r>
    </w:p>
    <w:p w14:paraId="4D5400D2" w14:textId="77777777" w:rsidR="005D07A6" w:rsidRDefault="00F42774">
      <w:pPr>
        <w:pStyle w:val="debutfilet"/>
      </w:pPr>
      <w:r>
        <w:t>Corrige</w:t>
      </w:r>
    </w:p>
    <w:p w14:paraId="2AB06829" w14:textId="77777777" w:rsidR="005D07A6" w:rsidRDefault="00F42774">
      <w:pPr>
        <w:pStyle w:val="LibelleRubrique"/>
      </w:pPr>
      <w:r>
        <w:t>Corrigé</w:t>
      </w:r>
    </w:p>
    <w:p w14:paraId="4C98A7A3" w14:textId="77777777" w:rsidR="005D07A6" w:rsidRDefault="00F42774">
      <w:pPr>
        <w:pStyle w:val="TNiv1"/>
      </w:pPr>
      <w:r>
        <w:rPr>
          <w:rStyle w:val="RefQuestion"/>
        </w:rPr>
        <w:t>1</w:t>
      </w:r>
      <w:r>
        <w:rPr>
          <w:b/>
          <w:bCs/>
        </w:rPr>
        <w:t>.</w:t>
      </w:r>
      <w:r>
        <w:t> Rappelez comment sélectionner une unité d’œuvre.</w:t>
      </w:r>
    </w:p>
    <w:p w14:paraId="176401A4" w14:textId="77777777" w:rsidR="005D07A6" w:rsidRDefault="00F42774">
      <w:pPr>
        <w:pStyle w:val="CTEspDessous"/>
      </w:pPr>
      <w:r>
        <w:t>L’unité d’œuvre doit traduire un lien entre le montant des charges indirectes et le niveau d’activité du centre d’analyse.</w:t>
      </w:r>
    </w:p>
    <w:p w14:paraId="729FB9DB" w14:textId="77777777" w:rsidR="005D07A6" w:rsidRDefault="00F42774">
      <w:pPr>
        <w:pStyle w:val="CTEspDessous"/>
      </w:pPr>
      <w:r>
        <w:t>Dans cet exercice, trois unités d’œuvre ont été déterminées (tonnes consommées, prix d’achat, nombre de commandes) et le choix se portera sur celle dont la corrélation linéaire est à la fois bonne et la meilleure des trois (en effet, si les trois corrélations étaient mauvaises, il conviendrait de rechercher une autre unité d’œuvre !).</w:t>
      </w:r>
    </w:p>
    <w:p w14:paraId="74A9F91F" w14:textId="77777777" w:rsidR="005D07A6" w:rsidRDefault="00F42774">
      <w:pPr>
        <w:pStyle w:val="TNiv1"/>
      </w:pPr>
      <w:r>
        <w:rPr>
          <w:rStyle w:val="RefQuestion"/>
        </w:rPr>
        <w:t>2</w:t>
      </w:r>
      <w:r>
        <w:rPr>
          <w:b/>
          <w:bCs/>
        </w:rPr>
        <w:t>.</w:t>
      </w:r>
      <w:r>
        <w:t> Justifiez, par le calcul de trois coefficients de corrélation linéaire, l’imputation des charges indirectes d’approvisionnement aux coûts. Seuls les résultats sont exigés.</w:t>
      </w:r>
    </w:p>
    <w:p w14:paraId="37C71020" w14:textId="77777777" w:rsidR="005D07A6" w:rsidRDefault="00F42774">
      <w:pPr>
        <w:pStyle w:val="CTEspDessous"/>
      </w:pPr>
      <w:r>
        <w:t>L’exploitation des fonctions statistiques d’une calculatrice doit vous permettre d’obtenir les trois résultats suivants :</w:t>
      </w:r>
    </w:p>
    <w:tbl>
      <w:tblPr>
        <w:tblW w:w="7422" w:type="dxa"/>
        <w:tblInd w:w="1701" w:type="dxa"/>
        <w:tblLook w:val="04A0" w:firstRow="1" w:lastRow="0" w:firstColumn="1" w:lastColumn="0" w:noHBand="0" w:noVBand="1"/>
      </w:tblPr>
      <w:tblGrid>
        <w:gridCol w:w="3160"/>
        <w:gridCol w:w="2041"/>
        <w:gridCol w:w="2221"/>
      </w:tblGrid>
      <w:tr w:rsidR="005D07A6" w14:paraId="687F0221" w14:textId="77777777">
        <w:tc>
          <w:tcPr>
            <w:tcW w:w="237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AC26AD2" w14:textId="77777777" w:rsidR="005D07A6" w:rsidRDefault="00F42774">
            <w:pPr>
              <w:pStyle w:val="TA1"/>
              <w:jc w:val="center"/>
              <w:rPr>
                <w:rFonts w:eastAsiaTheme="minorEastAsia"/>
              </w:rPr>
            </w:pPr>
            <w:r>
              <w:rPr>
                <w:b/>
                <w:bCs/>
              </w:rPr>
              <w:t>Y</w:t>
            </w:r>
          </w:p>
        </w:tc>
        <w:tc>
          <w:tcPr>
            <w:tcW w:w="153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F88FA44" w14:textId="77777777" w:rsidR="005D07A6" w:rsidRDefault="00F42774">
            <w:pPr>
              <w:pStyle w:val="TA1"/>
              <w:jc w:val="center"/>
              <w:rPr>
                <w:rFonts w:eastAsiaTheme="minorEastAsia"/>
              </w:rPr>
            </w:pPr>
            <w:r>
              <w:rPr>
                <w:b/>
                <w:bCs/>
              </w:rPr>
              <w:t>X</w:t>
            </w:r>
          </w:p>
        </w:tc>
        <w:tc>
          <w:tcPr>
            <w:tcW w:w="166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4F5E5D6" w14:textId="77777777" w:rsidR="005D07A6" w:rsidRDefault="00F42774">
            <w:pPr>
              <w:pStyle w:val="TA1"/>
              <w:jc w:val="center"/>
              <w:rPr>
                <w:rFonts w:eastAsiaTheme="minorEastAsia"/>
              </w:rPr>
            </w:pPr>
            <w:r>
              <w:rPr>
                <w:b/>
                <w:bCs/>
              </w:rPr>
              <w:t>Coefficient de corrélation</w:t>
            </w:r>
          </w:p>
        </w:tc>
      </w:tr>
      <w:tr w:rsidR="005D07A6" w14:paraId="45F19E16" w14:textId="77777777">
        <w:tc>
          <w:tcPr>
            <w:tcW w:w="23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B819F73" w14:textId="77777777" w:rsidR="005D07A6" w:rsidRDefault="00F42774">
            <w:pPr>
              <w:pStyle w:val="TA1"/>
              <w:rPr>
                <w:rFonts w:eastAsiaTheme="minorEastAsia"/>
              </w:rPr>
            </w:pPr>
            <w:r>
              <w:t>Charges indirectes d’approvisionnement</w:t>
            </w:r>
          </w:p>
        </w:tc>
        <w:tc>
          <w:tcPr>
            <w:tcW w:w="15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6CEFB75" w14:textId="77777777" w:rsidR="005D07A6" w:rsidRDefault="00F42774">
            <w:pPr>
              <w:pStyle w:val="TA1"/>
              <w:rPr>
                <w:rFonts w:eastAsiaTheme="minorEastAsia"/>
              </w:rPr>
            </w:pPr>
            <w:r>
              <w:t>Tonnes consommées</w:t>
            </w:r>
          </w:p>
        </w:tc>
        <w:tc>
          <w:tcPr>
            <w:tcW w:w="16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D919AEF" w14:textId="77777777" w:rsidR="005D07A6" w:rsidRDefault="00F42774">
            <w:pPr>
              <w:pStyle w:val="TA1"/>
              <w:jc w:val="right"/>
              <w:rPr>
                <w:rFonts w:eastAsiaTheme="minorEastAsia"/>
              </w:rPr>
            </w:pPr>
            <w:r>
              <w:t>0,98439356</w:t>
            </w:r>
          </w:p>
        </w:tc>
      </w:tr>
      <w:tr w:rsidR="005D07A6" w14:paraId="48CD977F" w14:textId="77777777">
        <w:tc>
          <w:tcPr>
            <w:tcW w:w="23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14A94F9" w14:textId="77777777" w:rsidR="005D07A6" w:rsidRDefault="00F42774">
            <w:pPr>
              <w:pStyle w:val="TA1"/>
              <w:rPr>
                <w:rFonts w:eastAsiaTheme="minorEastAsia"/>
              </w:rPr>
            </w:pPr>
            <w:r>
              <w:t>Charges indirectes d’approvisionnement</w:t>
            </w:r>
          </w:p>
        </w:tc>
        <w:tc>
          <w:tcPr>
            <w:tcW w:w="15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541EC47" w14:textId="77777777" w:rsidR="005D07A6" w:rsidRDefault="00F42774">
            <w:pPr>
              <w:pStyle w:val="TA1"/>
              <w:rPr>
                <w:rFonts w:eastAsiaTheme="minorEastAsia"/>
              </w:rPr>
            </w:pPr>
            <w:r>
              <w:t>Prix d’achat</w:t>
            </w:r>
          </w:p>
        </w:tc>
        <w:tc>
          <w:tcPr>
            <w:tcW w:w="16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D120EC6" w14:textId="77777777" w:rsidR="005D07A6" w:rsidRDefault="00F42774">
            <w:pPr>
              <w:pStyle w:val="TA1"/>
              <w:jc w:val="right"/>
              <w:rPr>
                <w:rFonts w:eastAsiaTheme="minorEastAsia"/>
              </w:rPr>
            </w:pPr>
            <w:r>
              <w:t>0,90634856</w:t>
            </w:r>
          </w:p>
        </w:tc>
      </w:tr>
      <w:tr w:rsidR="005D07A6" w14:paraId="232CC980" w14:textId="77777777">
        <w:tc>
          <w:tcPr>
            <w:tcW w:w="23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239CD9D" w14:textId="77777777" w:rsidR="005D07A6" w:rsidRDefault="00F42774">
            <w:pPr>
              <w:pStyle w:val="TA1"/>
              <w:rPr>
                <w:rFonts w:eastAsiaTheme="minorEastAsia"/>
              </w:rPr>
            </w:pPr>
            <w:r>
              <w:t>Charges indirectes d’approvisionnement</w:t>
            </w:r>
          </w:p>
        </w:tc>
        <w:tc>
          <w:tcPr>
            <w:tcW w:w="15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E91B7C8" w14:textId="77777777" w:rsidR="005D07A6" w:rsidRDefault="00F42774">
            <w:pPr>
              <w:pStyle w:val="TA1"/>
              <w:rPr>
                <w:rFonts w:eastAsiaTheme="minorEastAsia"/>
              </w:rPr>
            </w:pPr>
            <w:r>
              <w:t>Nombre de commandes</w:t>
            </w:r>
          </w:p>
        </w:tc>
        <w:tc>
          <w:tcPr>
            <w:tcW w:w="16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74452E4" w14:textId="77777777" w:rsidR="005D07A6" w:rsidRDefault="00F42774">
            <w:pPr>
              <w:pStyle w:val="TA1"/>
              <w:jc w:val="right"/>
              <w:rPr>
                <w:rFonts w:eastAsiaTheme="minorEastAsia"/>
              </w:rPr>
            </w:pPr>
            <w:r>
              <w:t>– 0,63359439</w:t>
            </w:r>
          </w:p>
        </w:tc>
      </w:tr>
    </w:tbl>
    <w:p w14:paraId="083AF0B8" w14:textId="77777777" w:rsidR="005D07A6" w:rsidRDefault="00F42774">
      <w:pPr>
        <w:pStyle w:val="CTEspDessous"/>
        <w:rPr>
          <w:rFonts w:eastAsiaTheme="minorEastAsia"/>
        </w:rPr>
      </w:pPr>
      <w:r>
        <w:t>La corrélation entre les charges indirectes et les tonnes consommées étant à la fois très forte et la meilleure des trois a conduit au choix de cette unité d’œuvre.</w:t>
      </w:r>
    </w:p>
    <w:p w14:paraId="583185AE" w14:textId="77777777" w:rsidR="005D07A6" w:rsidRDefault="00F42774">
      <w:pPr>
        <w:pStyle w:val="finfilet"/>
      </w:pPr>
      <w:r>
        <w:t>Fin Corrige</w:t>
      </w:r>
    </w:p>
    <w:p w14:paraId="7EE23EF2" w14:textId="77777777" w:rsidR="005D07A6" w:rsidRDefault="00F42774">
      <w:pPr>
        <w:pStyle w:val="finfiletr"/>
      </w:pPr>
      <w:r>
        <w:t>Fin Exercice</w:t>
      </w:r>
    </w:p>
    <w:p w14:paraId="4895C8D8" w14:textId="77777777" w:rsidR="005D07A6" w:rsidRDefault="00F42774">
      <w:pPr>
        <w:pStyle w:val="debutfiletr"/>
      </w:pPr>
      <w:r>
        <w:t>Exercice_n-5</w:t>
      </w:r>
    </w:p>
    <w:p w14:paraId="3546D4EB" w14:textId="77777777" w:rsidR="005D07A6" w:rsidRDefault="00F42774">
      <w:pPr>
        <w:pStyle w:val="LibelleRubrique"/>
      </w:pPr>
      <w:r>
        <w:t xml:space="preserve">Exercice </w:t>
      </w:r>
    </w:p>
    <w:p w14:paraId="79631C07" w14:textId="77777777" w:rsidR="005D07A6" w:rsidRDefault="00F42774">
      <w:pPr>
        <w:pStyle w:val="TitreRubrique"/>
      </w:pPr>
      <w:r>
        <w:t>Coûts complets (méthode des centres d’analyse et méthode ABC)</w:t>
      </w:r>
    </w:p>
    <w:p w14:paraId="6A371E85" w14:textId="77777777" w:rsidR="005D07A6" w:rsidRDefault="00F42774">
      <w:pPr>
        <w:pStyle w:val="debutfilet"/>
      </w:pPr>
      <w:r>
        <w:t>Enonce</w:t>
      </w:r>
    </w:p>
    <w:p w14:paraId="5F9AB665" w14:textId="77777777" w:rsidR="005D07A6" w:rsidRDefault="00F42774">
      <w:pPr>
        <w:pStyle w:val="LibelleRubrique"/>
      </w:pPr>
      <w:r>
        <w:t>Énoncé</w:t>
      </w:r>
    </w:p>
    <w:p w14:paraId="4D5437FA" w14:textId="77777777" w:rsidR="005D07A6" w:rsidRDefault="00F42774">
      <w:pPr>
        <w:pStyle w:val="CT"/>
      </w:pPr>
      <w:r>
        <w:t>La société A produit en juste-à-temps trois produits X, Y et Z pour lesquels les données suivantes ont été constatées :</w:t>
      </w:r>
    </w:p>
    <w:p w14:paraId="32F45241" w14:textId="77777777" w:rsidR="005D07A6" w:rsidRDefault="00F42774">
      <w:pPr>
        <w:pStyle w:val="TNiv1"/>
      </w:pPr>
      <w:r>
        <w:t>1. Production</w:t>
      </w:r>
    </w:p>
    <w:tbl>
      <w:tblPr>
        <w:tblW w:w="5041" w:type="dxa"/>
        <w:tblInd w:w="1701" w:type="dxa"/>
        <w:tblLook w:val="04A0" w:firstRow="1" w:lastRow="0" w:firstColumn="1" w:lastColumn="0" w:noHBand="0" w:noVBand="1"/>
      </w:tblPr>
      <w:tblGrid>
        <w:gridCol w:w="2281"/>
        <w:gridCol w:w="920"/>
        <w:gridCol w:w="920"/>
        <w:gridCol w:w="920"/>
      </w:tblGrid>
      <w:tr w:rsidR="005D07A6" w14:paraId="2A1B1C3B" w14:textId="77777777">
        <w:tc>
          <w:tcPr>
            <w:tcW w:w="1710" w:type="dxa"/>
            <w:tcBorders>
              <w:top w:val="nil"/>
              <w:left w:val="nil"/>
              <w:bottom w:val="single" w:sz="4" w:space="0" w:color="auto"/>
              <w:right w:val="single" w:sz="4" w:space="0" w:color="auto"/>
            </w:tcBorders>
            <w:tcMar>
              <w:top w:w="0" w:type="dxa"/>
              <w:left w:w="2" w:type="dxa"/>
              <w:bottom w:w="0" w:type="dxa"/>
              <w:right w:w="2" w:type="dxa"/>
            </w:tcMar>
            <w:hideMark/>
          </w:tcPr>
          <w:p w14:paraId="620458AF" w14:textId="77777777" w:rsidR="005D07A6" w:rsidRDefault="005D07A6"/>
        </w:tc>
        <w:tc>
          <w:tcPr>
            <w:tcW w:w="69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BCB1FF1" w14:textId="77777777" w:rsidR="005D07A6" w:rsidRDefault="00F42774">
            <w:pPr>
              <w:pStyle w:val="TA1"/>
              <w:jc w:val="center"/>
              <w:rPr>
                <w:rFonts w:eastAsiaTheme="minorEastAsia"/>
              </w:rPr>
            </w:pPr>
            <w:r>
              <w:rPr>
                <w:b/>
                <w:bCs/>
              </w:rPr>
              <w:t>X</w:t>
            </w:r>
          </w:p>
        </w:tc>
        <w:tc>
          <w:tcPr>
            <w:tcW w:w="69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A954FBF" w14:textId="77777777" w:rsidR="005D07A6" w:rsidRDefault="00F42774">
            <w:pPr>
              <w:pStyle w:val="TA1"/>
              <w:jc w:val="center"/>
              <w:rPr>
                <w:rFonts w:eastAsiaTheme="minorEastAsia"/>
              </w:rPr>
            </w:pPr>
            <w:r>
              <w:rPr>
                <w:b/>
                <w:bCs/>
              </w:rPr>
              <w:t>Y</w:t>
            </w:r>
          </w:p>
        </w:tc>
        <w:tc>
          <w:tcPr>
            <w:tcW w:w="69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D211B24" w14:textId="77777777" w:rsidR="005D07A6" w:rsidRDefault="00F42774">
            <w:pPr>
              <w:pStyle w:val="TA1"/>
              <w:jc w:val="center"/>
              <w:rPr>
                <w:rFonts w:eastAsiaTheme="minorEastAsia"/>
              </w:rPr>
            </w:pPr>
            <w:r>
              <w:rPr>
                <w:b/>
                <w:bCs/>
              </w:rPr>
              <w:t>Z</w:t>
            </w:r>
          </w:p>
        </w:tc>
      </w:tr>
      <w:tr w:rsidR="005D07A6" w14:paraId="4574D936" w14:textId="77777777">
        <w:tc>
          <w:tcPr>
            <w:tcW w:w="17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D16C97D" w14:textId="77777777" w:rsidR="005D07A6" w:rsidRDefault="00F42774">
            <w:pPr>
              <w:pStyle w:val="TA1"/>
              <w:rPr>
                <w:rFonts w:eastAsiaTheme="minorEastAsia"/>
              </w:rPr>
            </w:pPr>
            <w:r>
              <w:t>Quantités produites</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E3CBA3F" w14:textId="77777777" w:rsidR="005D07A6" w:rsidRDefault="00F42774">
            <w:pPr>
              <w:pStyle w:val="TA1"/>
              <w:jc w:val="right"/>
              <w:rPr>
                <w:rFonts w:eastAsiaTheme="minorEastAsia"/>
              </w:rPr>
            </w:pPr>
            <w:r>
              <w:t>40 000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AC1C3DA" w14:textId="77777777" w:rsidR="005D07A6" w:rsidRDefault="00F42774">
            <w:pPr>
              <w:pStyle w:val="TA1"/>
              <w:jc w:val="right"/>
              <w:rPr>
                <w:rFonts w:eastAsiaTheme="minorEastAsia"/>
              </w:rPr>
            </w:pPr>
            <w:r>
              <w:t>30 000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683482E" w14:textId="77777777" w:rsidR="005D07A6" w:rsidRDefault="00F42774">
            <w:pPr>
              <w:pStyle w:val="TA1"/>
              <w:jc w:val="right"/>
              <w:rPr>
                <w:rFonts w:eastAsiaTheme="minorEastAsia"/>
              </w:rPr>
            </w:pPr>
            <w:r>
              <w:t>15 000</w:t>
            </w:r>
          </w:p>
        </w:tc>
      </w:tr>
      <w:tr w:rsidR="005D07A6" w14:paraId="2DA06C32" w14:textId="77777777">
        <w:tc>
          <w:tcPr>
            <w:tcW w:w="17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EBDD7EA" w14:textId="77777777" w:rsidR="005D07A6" w:rsidRDefault="00F42774">
            <w:pPr>
              <w:pStyle w:val="TA1"/>
              <w:rPr>
                <w:rFonts w:eastAsiaTheme="minorEastAsia"/>
              </w:rPr>
            </w:pPr>
            <w:r>
              <w:t>Lots de 2 000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4110A0B" w14:textId="77777777" w:rsidR="005D07A6" w:rsidRDefault="00F42774">
            <w:pPr>
              <w:pStyle w:val="TA1"/>
              <w:jc w:val="right"/>
              <w:rPr>
                <w:rFonts w:eastAsiaTheme="minorEastAsia"/>
              </w:rPr>
            </w:pPr>
            <w:r>
              <w:t>10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CBB2043" w14:textId="77777777" w:rsidR="005D07A6" w:rsidRDefault="00F42774">
            <w:pPr>
              <w:pStyle w:val="TA1"/>
              <w:jc w:val="right"/>
              <w:rPr>
                <w:rFonts w:eastAsiaTheme="minorEastAsia"/>
              </w:rPr>
            </w:pPr>
            <w:r>
              <w:t>5</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1D18322" w14:textId="77777777" w:rsidR="005D07A6" w:rsidRDefault="00F42774">
            <w:pPr>
              <w:pStyle w:val="TA1"/>
              <w:jc w:val="right"/>
              <w:rPr>
                <w:rFonts w:eastAsiaTheme="minorEastAsia"/>
              </w:rPr>
            </w:pPr>
            <w:r>
              <w:t>/</w:t>
            </w:r>
          </w:p>
        </w:tc>
      </w:tr>
      <w:tr w:rsidR="005D07A6" w14:paraId="19FEA25C" w14:textId="77777777">
        <w:tc>
          <w:tcPr>
            <w:tcW w:w="17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E638085" w14:textId="77777777" w:rsidR="005D07A6" w:rsidRDefault="00F42774">
            <w:pPr>
              <w:pStyle w:val="TA1"/>
              <w:rPr>
                <w:rFonts w:eastAsiaTheme="minorEastAsia"/>
              </w:rPr>
            </w:pPr>
            <w:r>
              <w:t>Lots de 1 000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A465DA9" w14:textId="77777777" w:rsidR="005D07A6" w:rsidRDefault="00F42774">
            <w:pPr>
              <w:pStyle w:val="TA1"/>
              <w:jc w:val="right"/>
              <w:rPr>
                <w:rFonts w:eastAsiaTheme="minorEastAsia"/>
              </w:rPr>
            </w:pPr>
            <w:r>
              <w:t>20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883F33D" w14:textId="77777777" w:rsidR="005D07A6" w:rsidRDefault="00F42774">
            <w:pPr>
              <w:pStyle w:val="TA1"/>
              <w:jc w:val="right"/>
              <w:rPr>
                <w:rFonts w:eastAsiaTheme="minorEastAsia"/>
              </w:rPr>
            </w:pPr>
            <w:r>
              <w:t>15</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91732A4" w14:textId="77777777" w:rsidR="005D07A6" w:rsidRDefault="00F42774">
            <w:pPr>
              <w:pStyle w:val="TA1"/>
              <w:jc w:val="right"/>
              <w:rPr>
                <w:rFonts w:eastAsiaTheme="minorEastAsia"/>
              </w:rPr>
            </w:pPr>
            <w:r>
              <w:t>5</w:t>
            </w:r>
          </w:p>
        </w:tc>
      </w:tr>
      <w:tr w:rsidR="005D07A6" w14:paraId="454CDF7A" w14:textId="77777777">
        <w:tc>
          <w:tcPr>
            <w:tcW w:w="17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8A762A9" w14:textId="77777777" w:rsidR="005D07A6" w:rsidRDefault="00F42774">
            <w:pPr>
              <w:pStyle w:val="TA1"/>
              <w:rPr>
                <w:rFonts w:eastAsiaTheme="minorEastAsia"/>
              </w:rPr>
            </w:pPr>
            <w:r>
              <w:t>Lots de 500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880D2ED" w14:textId="77777777" w:rsidR="005D07A6" w:rsidRDefault="00F42774">
            <w:pPr>
              <w:pStyle w:val="TA1"/>
              <w:jc w:val="right"/>
              <w:rPr>
                <w:rFonts w:eastAsiaTheme="minorEastAsia"/>
              </w:rPr>
            </w:pPr>
            <w:r>
              <w:t>/</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128864B" w14:textId="77777777" w:rsidR="005D07A6" w:rsidRDefault="00F42774">
            <w:pPr>
              <w:pStyle w:val="TA1"/>
              <w:jc w:val="right"/>
              <w:rPr>
                <w:rFonts w:eastAsiaTheme="minorEastAsia"/>
              </w:rPr>
            </w:pPr>
            <w:r>
              <w:t>10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AB4CDED" w14:textId="77777777" w:rsidR="005D07A6" w:rsidRDefault="00F42774">
            <w:pPr>
              <w:pStyle w:val="TA1"/>
              <w:jc w:val="right"/>
              <w:rPr>
                <w:rFonts w:eastAsiaTheme="minorEastAsia"/>
              </w:rPr>
            </w:pPr>
            <w:r>
              <w:t>10</w:t>
            </w:r>
          </w:p>
        </w:tc>
      </w:tr>
      <w:tr w:rsidR="005D07A6" w14:paraId="3800FC87" w14:textId="77777777">
        <w:tc>
          <w:tcPr>
            <w:tcW w:w="17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126381E" w14:textId="77777777" w:rsidR="005D07A6" w:rsidRDefault="00F42774">
            <w:pPr>
              <w:pStyle w:val="TA1"/>
              <w:rPr>
                <w:rFonts w:eastAsiaTheme="minorEastAsia"/>
              </w:rPr>
            </w:pPr>
            <w:r>
              <w:t>Lots de 100</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243A6D9" w14:textId="77777777" w:rsidR="005D07A6" w:rsidRDefault="00F42774">
            <w:pPr>
              <w:pStyle w:val="TA1"/>
              <w:jc w:val="right"/>
              <w:rPr>
                <w:rFonts w:eastAsiaTheme="minorEastAsia"/>
              </w:rPr>
            </w:pPr>
            <w:r>
              <w:t>/</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864A568" w14:textId="77777777" w:rsidR="005D07A6" w:rsidRDefault="00F42774">
            <w:pPr>
              <w:pStyle w:val="TA1"/>
              <w:jc w:val="right"/>
              <w:rPr>
                <w:rFonts w:eastAsiaTheme="minorEastAsia"/>
              </w:rPr>
            </w:pPr>
            <w:r>
              <w:t>/</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82A40B3" w14:textId="77777777" w:rsidR="005D07A6" w:rsidRDefault="00F42774">
            <w:pPr>
              <w:pStyle w:val="TA1"/>
              <w:jc w:val="right"/>
              <w:rPr>
                <w:rFonts w:eastAsiaTheme="minorEastAsia"/>
              </w:rPr>
            </w:pPr>
            <w:r>
              <w:t>50</w:t>
            </w:r>
          </w:p>
        </w:tc>
      </w:tr>
    </w:tbl>
    <w:p w14:paraId="18E4974B" w14:textId="77777777" w:rsidR="005D07A6" w:rsidRDefault="00F42774">
      <w:pPr>
        <w:pStyle w:val="TNiv1"/>
        <w:rPr>
          <w:rFonts w:eastAsiaTheme="minorEastAsia"/>
        </w:rPr>
      </w:pPr>
      <w:r>
        <w:t>2. Nomenclature des produits et prix d’achat des composants</w:t>
      </w:r>
    </w:p>
    <w:tbl>
      <w:tblPr>
        <w:tblW w:w="6883" w:type="dxa"/>
        <w:tblInd w:w="1701" w:type="dxa"/>
        <w:tblLook w:val="04A0" w:firstRow="1" w:lastRow="0" w:firstColumn="1" w:lastColumn="0" w:noHBand="0" w:noVBand="1"/>
      </w:tblPr>
      <w:tblGrid>
        <w:gridCol w:w="2190"/>
        <w:gridCol w:w="911"/>
        <w:gridCol w:w="1103"/>
        <w:gridCol w:w="911"/>
        <w:gridCol w:w="1768"/>
      </w:tblGrid>
      <w:tr w:rsidR="005D07A6" w14:paraId="7FEB2A6A" w14:textId="77777777">
        <w:tc>
          <w:tcPr>
            <w:tcW w:w="1710" w:type="dxa"/>
            <w:tcBorders>
              <w:top w:val="nil"/>
              <w:left w:val="nil"/>
              <w:bottom w:val="single" w:sz="4" w:space="0" w:color="auto"/>
              <w:right w:val="single" w:sz="4" w:space="0" w:color="auto"/>
            </w:tcBorders>
            <w:tcMar>
              <w:top w:w="0" w:type="dxa"/>
              <w:left w:w="2" w:type="dxa"/>
              <w:bottom w:w="0" w:type="dxa"/>
              <w:right w:w="2" w:type="dxa"/>
            </w:tcMar>
            <w:hideMark/>
          </w:tcPr>
          <w:p w14:paraId="148CE055" w14:textId="77777777" w:rsidR="005D07A6" w:rsidRDefault="005D07A6"/>
        </w:tc>
        <w:tc>
          <w:tcPr>
            <w:tcW w:w="69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B86C650" w14:textId="77777777" w:rsidR="005D07A6" w:rsidRDefault="00F42774">
            <w:pPr>
              <w:pStyle w:val="TA1"/>
              <w:jc w:val="center"/>
              <w:rPr>
                <w:rFonts w:eastAsiaTheme="minorEastAsia"/>
              </w:rPr>
            </w:pPr>
            <w:r>
              <w:rPr>
                <w:b/>
                <w:bCs/>
              </w:rPr>
              <w:t>X</w:t>
            </w:r>
          </w:p>
        </w:tc>
        <w:tc>
          <w:tcPr>
            <w:tcW w:w="69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C72D60F" w14:textId="77777777" w:rsidR="005D07A6" w:rsidRDefault="00F42774">
            <w:pPr>
              <w:pStyle w:val="TA1"/>
              <w:jc w:val="center"/>
              <w:rPr>
                <w:rFonts w:eastAsiaTheme="minorEastAsia"/>
              </w:rPr>
            </w:pPr>
            <w:r>
              <w:rPr>
                <w:b/>
                <w:bCs/>
              </w:rPr>
              <w:t>Y</w:t>
            </w:r>
          </w:p>
        </w:tc>
        <w:tc>
          <w:tcPr>
            <w:tcW w:w="69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C8AE5F9" w14:textId="77777777" w:rsidR="005D07A6" w:rsidRDefault="00F42774">
            <w:pPr>
              <w:pStyle w:val="TA1"/>
              <w:jc w:val="center"/>
              <w:rPr>
                <w:rFonts w:eastAsiaTheme="minorEastAsia"/>
              </w:rPr>
            </w:pPr>
            <w:r>
              <w:rPr>
                <w:b/>
                <w:bCs/>
              </w:rPr>
              <w:t>Z</w:t>
            </w:r>
          </w:p>
        </w:tc>
        <w:tc>
          <w:tcPr>
            <w:tcW w:w="138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7A56A48" w14:textId="77777777" w:rsidR="005D07A6" w:rsidRDefault="00F42774">
            <w:pPr>
              <w:pStyle w:val="TA1"/>
              <w:jc w:val="center"/>
              <w:rPr>
                <w:rFonts w:eastAsiaTheme="minorEastAsia"/>
              </w:rPr>
            </w:pPr>
            <w:r>
              <w:rPr>
                <w:b/>
                <w:bCs/>
              </w:rPr>
              <w:t>Prix des composants</w:t>
            </w:r>
          </w:p>
        </w:tc>
      </w:tr>
      <w:tr w:rsidR="005D07A6" w14:paraId="11D95ED6" w14:textId="77777777">
        <w:tc>
          <w:tcPr>
            <w:tcW w:w="17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BC711AD" w14:textId="77777777" w:rsidR="005D07A6" w:rsidRDefault="00F42774">
            <w:pPr>
              <w:pStyle w:val="TA1"/>
              <w:rPr>
                <w:rFonts w:eastAsiaTheme="minorEastAsia"/>
              </w:rPr>
            </w:pPr>
            <w:r>
              <w:t>Composant A</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EFE0CB7" w14:textId="77777777" w:rsidR="005D07A6" w:rsidRDefault="00F42774">
            <w:pPr>
              <w:pStyle w:val="TA1"/>
              <w:jc w:val="right"/>
              <w:rPr>
                <w:rFonts w:eastAsiaTheme="minorEastAsia"/>
              </w:rPr>
            </w:pPr>
            <w:r>
              <w:t>0,1 kg</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33A8D7E" w14:textId="77777777" w:rsidR="005D07A6" w:rsidRDefault="00F42774">
            <w:pPr>
              <w:pStyle w:val="TA1"/>
              <w:jc w:val="right"/>
              <w:rPr>
                <w:rFonts w:eastAsiaTheme="minorEastAsia"/>
              </w:rPr>
            </w:pPr>
            <w:r>
              <w:t>0,2 kg</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852D96A" w14:textId="77777777" w:rsidR="005D07A6" w:rsidRDefault="00F42774">
            <w:pPr>
              <w:pStyle w:val="TA1"/>
              <w:jc w:val="right"/>
              <w:rPr>
                <w:rFonts w:eastAsiaTheme="minorEastAsia"/>
              </w:rPr>
            </w:pPr>
            <w:r>
              <w:t>0,1 kg</w:t>
            </w:r>
          </w:p>
        </w:tc>
        <w:tc>
          <w:tcPr>
            <w:tcW w:w="13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D6B8BA7" w14:textId="77777777" w:rsidR="005D07A6" w:rsidRDefault="00F42774">
            <w:pPr>
              <w:pStyle w:val="TA1"/>
              <w:jc w:val="right"/>
              <w:rPr>
                <w:rFonts w:eastAsiaTheme="minorEastAsia"/>
              </w:rPr>
            </w:pPr>
            <w:r>
              <w:t>40 € par kg</w:t>
            </w:r>
          </w:p>
        </w:tc>
      </w:tr>
      <w:tr w:rsidR="005D07A6" w14:paraId="6A763A8C" w14:textId="77777777">
        <w:tc>
          <w:tcPr>
            <w:tcW w:w="17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B17F110" w14:textId="77777777" w:rsidR="005D07A6" w:rsidRDefault="00F42774">
            <w:pPr>
              <w:pStyle w:val="TA1"/>
              <w:rPr>
                <w:rFonts w:eastAsiaTheme="minorEastAsia"/>
              </w:rPr>
            </w:pPr>
            <w:r>
              <w:t>Composant B</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087CAEE" w14:textId="77777777" w:rsidR="005D07A6" w:rsidRDefault="00F42774">
            <w:pPr>
              <w:pStyle w:val="TA1"/>
              <w:jc w:val="right"/>
              <w:rPr>
                <w:rFonts w:eastAsiaTheme="minorEastAsia"/>
              </w:rPr>
            </w:pPr>
            <w:r>
              <w:t>/</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480D751" w14:textId="77777777" w:rsidR="005D07A6" w:rsidRDefault="00F42774">
            <w:pPr>
              <w:pStyle w:val="TA1"/>
              <w:jc w:val="right"/>
              <w:rPr>
                <w:rFonts w:eastAsiaTheme="minorEastAsia"/>
              </w:rPr>
            </w:pPr>
            <w:r>
              <w:t>/</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DD10382" w14:textId="77777777" w:rsidR="005D07A6" w:rsidRDefault="00F42774">
            <w:pPr>
              <w:pStyle w:val="TA1"/>
              <w:jc w:val="right"/>
              <w:rPr>
                <w:rFonts w:eastAsiaTheme="minorEastAsia"/>
              </w:rPr>
            </w:pPr>
            <w:r>
              <w:t>0,3 kg</w:t>
            </w:r>
          </w:p>
        </w:tc>
        <w:tc>
          <w:tcPr>
            <w:tcW w:w="13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6807E32" w14:textId="77777777" w:rsidR="005D07A6" w:rsidRDefault="00F42774">
            <w:pPr>
              <w:pStyle w:val="TA1"/>
              <w:jc w:val="right"/>
              <w:rPr>
                <w:rFonts w:eastAsiaTheme="minorEastAsia"/>
              </w:rPr>
            </w:pPr>
            <w:r>
              <w:t>80 € par kg</w:t>
            </w:r>
          </w:p>
        </w:tc>
      </w:tr>
      <w:tr w:rsidR="005D07A6" w14:paraId="1A23C132" w14:textId="77777777">
        <w:tc>
          <w:tcPr>
            <w:tcW w:w="17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4B10CC3" w14:textId="77777777" w:rsidR="005D07A6" w:rsidRDefault="00F42774">
            <w:pPr>
              <w:pStyle w:val="TA1"/>
              <w:rPr>
                <w:rFonts w:eastAsiaTheme="minorEastAsia"/>
              </w:rPr>
            </w:pPr>
            <w:r>
              <w:t>Composant C</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7437101" w14:textId="77777777" w:rsidR="005D07A6" w:rsidRDefault="00F42774">
            <w:pPr>
              <w:pStyle w:val="TA1"/>
              <w:jc w:val="right"/>
              <w:rPr>
                <w:rFonts w:eastAsiaTheme="minorEastAsia"/>
              </w:rPr>
            </w:pPr>
            <w:r>
              <w:t>/</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152F6DF" w14:textId="77777777" w:rsidR="005D07A6" w:rsidRDefault="00F42774">
            <w:pPr>
              <w:pStyle w:val="TA1"/>
              <w:jc w:val="right"/>
              <w:rPr>
                <w:rFonts w:eastAsiaTheme="minorEastAsia"/>
              </w:rPr>
            </w:pPr>
            <w:r>
              <w:t>0,5 kg</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6D5BC1A" w14:textId="77777777" w:rsidR="005D07A6" w:rsidRDefault="00F42774">
            <w:pPr>
              <w:pStyle w:val="TA1"/>
              <w:jc w:val="right"/>
              <w:rPr>
                <w:rFonts w:eastAsiaTheme="minorEastAsia"/>
              </w:rPr>
            </w:pPr>
            <w:r>
              <w:t>0,6 kg</w:t>
            </w:r>
          </w:p>
        </w:tc>
        <w:tc>
          <w:tcPr>
            <w:tcW w:w="13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09E0B4A" w14:textId="77777777" w:rsidR="005D07A6" w:rsidRDefault="00F42774">
            <w:pPr>
              <w:pStyle w:val="TA1"/>
              <w:jc w:val="right"/>
              <w:rPr>
                <w:rFonts w:eastAsiaTheme="minorEastAsia"/>
              </w:rPr>
            </w:pPr>
            <w:r>
              <w:t>100 € par kg</w:t>
            </w:r>
          </w:p>
        </w:tc>
      </w:tr>
      <w:tr w:rsidR="005D07A6" w14:paraId="51E2A165" w14:textId="77777777">
        <w:tc>
          <w:tcPr>
            <w:tcW w:w="17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8B74E30" w14:textId="77777777" w:rsidR="005D07A6" w:rsidRDefault="00F42774">
            <w:pPr>
              <w:pStyle w:val="TA1"/>
              <w:rPr>
                <w:rFonts w:eastAsiaTheme="minorEastAsia"/>
              </w:rPr>
            </w:pPr>
            <w:r>
              <w:t>Composant D</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B3F7C06" w14:textId="77777777" w:rsidR="005D07A6" w:rsidRDefault="00F42774">
            <w:pPr>
              <w:pStyle w:val="TA1"/>
              <w:jc w:val="right"/>
              <w:rPr>
                <w:rFonts w:eastAsiaTheme="minorEastAsia"/>
              </w:rPr>
            </w:pPr>
            <w:r>
              <w:t>0,2 kg</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D85E44C" w14:textId="77777777" w:rsidR="005D07A6" w:rsidRDefault="00F42774">
            <w:pPr>
              <w:pStyle w:val="TA1"/>
              <w:jc w:val="right"/>
              <w:rPr>
                <w:rFonts w:eastAsiaTheme="minorEastAsia"/>
              </w:rPr>
            </w:pPr>
            <w:r>
              <w:t>/</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4940397" w14:textId="77777777" w:rsidR="005D07A6" w:rsidRDefault="00F42774">
            <w:pPr>
              <w:pStyle w:val="TA1"/>
              <w:jc w:val="right"/>
              <w:rPr>
                <w:rFonts w:eastAsiaTheme="minorEastAsia"/>
              </w:rPr>
            </w:pPr>
            <w:r>
              <w:t>0,3 kg</w:t>
            </w:r>
          </w:p>
        </w:tc>
        <w:tc>
          <w:tcPr>
            <w:tcW w:w="13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D5A7260" w14:textId="77777777" w:rsidR="005D07A6" w:rsidRDefault="00F42774">
            <w:pPr>
              <w:pStyle w:val="TA1"/>
              <w:jc w:val="right"/>
              <w:rPr>
                <w:rFonts w:eastAsiaTheme="minorEastAsia"/>
              </w:rPr>
            </w:pPr>
            <w:r>
              <w:t>90 € par kg</w:t>
            </w:r>
          </w:p>
        </w:tc>
      </w:tr>
      <w:tr w:rsidR="005D07A6" w14:paraId="2754558F" w14:textId="77777777">
        <w:tc>
          <w:tcPr>
            <w:tcW w:w="17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E567555" w14:textId="77777777" w:rsidR="005D07A6" w:rsidRDefault="00F42774">
            <w:pPr>
              <w:pStyle w:val="TA1"/>
              <w:rPr>
                <w:rFonts w:eastAsiaTheme="minorEastAsia"/>
              </w:rPr>
            </w:pPr>
            <w:r>
              <w:t>Composant E</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5E02F52" w14:textId="77777777" w:rsidR="005D07A6" w:rsidRDefault="00F42774">
            <w:pPr>
              <w:pStyle w:val="TA1"/>
              <w:jc w:val="right"/>
              <w:rPr>
                <w:rFonts w:eastAsiaTheme="minorEastAsia"/>
              </w:rPr>
            </w:pPr>
            <w:r>
              <w:t>0,4 kg</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48436EE" w14:textId="77777777" w:rsidR="005D07A6" w:rsidRDefault="00F42774">
            <w:pPr>
              <w:pStyle w:val="TA1"/>
              <w:jc w:val="right"/>
              <w:rPr>
                <w:rFonts w:eastAsiaTheme="minorEastAsia"/>
              </w:rPr>
            </w:pPr>
            <w:r>
              <w:t>0,6 kg</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F3C0FA5" w14:textId="77777777" w:rsidR="005D07A6" w:rsidRDefault="00F42774">
            <w:pPr>
              <w:pStyle w:val="TA1"/>
              <w:jc w:val="right"/>
              <w:rPr>
                <w:rFonts w:eastAsiaTheme="minorEastAsia"/>
              </w:rPr>
            </w:pPr>
            <w:r>
              <w:t>/</w:t>
            </w:r>
          </w:p>
        </w:tc>
        <w:tc>
          <w:tcPr>
            <w:tcW w:w="13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E30F5D9" w14:textId="77777777" w:rsidR="005D07A6" w:rsidRDefault="00F42774">
            <w:pPr>
              <w:pStyle w:val="TA1"/>
              <w:jc w:val="right"/>
              <w:rPr>
                <w:rFonts w:eastAsiaTheme="minorEastAsia"/>
              </w:rPr>
            </w:pPr>
            <w:r>
              <w:t>10 € par kg</w:t>
            </w:r>
          </w:p>
        </w:tc>
      </w:tr>
      <w:tr w:rsidR="005D07A6" w14:paraId="6D36CB30" w14:textId="77777777">
        <w:tc>
          <w:tcPr>
            <w:tcW w:w="17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9630C9D" w14:textId="77777777" w:rsidR="005D07A6" w:rsidRDefault="00F42774">
            <w:pPr>
              <w:pStyle w:val="TA1"/>
              <w:rPr>
                <w:rFonts w:eastAsiaTheme="minorEastAsia"/>
              </w:rPr>
            </w:pPr>
            <w:r>
              <w:t>Composant F</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7E7CFAF" w14:textId="77777777" w:rsidR="005D07A6" w:rsidRDefault="00F42774">
            <w:pPr>
              <w:pStyle w:val="TA1"/>
              <w:jc w:val="right"/>
              <w:rPr>
                <w:rFonts w:eastAsiaTheme="minorEastAsia"/>
              </w:rPr>
            </w:pPr>
            <w:r>
              <w:t>0,5 kg</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3172E96" w14:textId="77777777" w:rsidR="005D07A6" w:rsidRDefault="00F42774">
            <w:pPr>
              <w:pStyle w:val="TA1"/>
              <w:jc w:val="right"/>
              <w:rPr>
                <w:rFonts w:eastAsiaTheme="minorEastAsia"/>
              </w:rPr>
            </w:pPr>
            <w:r>
              <w:t>/</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B630B4F" w14:textId="77777777" w:rsidR="005D07A6" w:rsidRDefault="00F42774">
            <w:pPr>
              <w:pStyle w:val="TA1"/>
              <w:jc w:val="right"/>
              <w:rPr>
                <w:rFonts w:eastAsiaTheme="minorEastAsia"/>
              </w:rPr>
            </w:pPr>
            <w:r>
              <w:t>/</w:t>
            </w:r>
          </w:p>
        </w:tc>
        <w:tc>
          <w:tcPr>
            <w:tcW w:w="13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1B58EDF" w14:textId="77777777" w:rsidR="005D07A6" w:rsidRDefault="00F42774">
            <w:pPr>
              <w:pStyle w:val="TA1"/>
              <w:jc w:val="right"/>
              <w:rPr>
                <w:rFonts w:eastAsiaTheme="minorEastAsia"/>
              </w:rPr>
            </w:pPr>
            <w:r>
              <w:t>20 € par kg</w:t>
            </w:r>
          </w:p>
        </w:tc>
      </w:tr>
      <w:tr w:rsidR="005D07A6" w14:paraId="5DF17E9F" w14:textId="77777777">
        <w:tc>
          <w:tcPr>
            <w:tcW w:w="17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A1DE9E5" w14:textId="77777777" w:rsidR="005D07A6" w:rsidRDefault="00F42774">
            <w:pPr>
              <w:pStyle w:val="TA1"/>
              <w:rPr>
                <w:rFonts w:eastAsiaTheme="minorEastAsia"/>
              </w:rPr>
            </w:pPr>
            <w:r>
              <w:lastRenderedPageBreak/>
              <w:t>Composant G (Emballages)</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8A2E0F8" w14:textId="77777777" w:rsidR="005D07A6" w:rsidRDefault="00F42774">
            <w:pPr>
              <w:pStyle w:val="TA1"/>
              <w:jc w:val="right"/>
              <w:rPr>
                <w:rFonts w:eastAsiaTheme="minorEastAsia"/>
              </w:rPr>
            </w:pPr>
            <w:r>
              <w:t>1 unité</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B9D375A" w14:textId="77777777" w:rsidR="005D07A6" w:rsidRDefault="00F42774">
            <w:pPr>
              <w:pStyle w:val="TA1"/>
              <w:jc w:val="right"/>
              <w:rPr>
                <w:rFonts w:eastAsiaTheme="minorEastAsia"/>
              </w:rPr>
            </w:pPr>
            <w:r>
              <w:t>1 unité</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9614673" w14:textId="77777777" w:rsidR="005D07A6" w:rsidRDefault="00F42774">
            <w:pPr>
              <w:pStyle w:val="TA1"/>
              <w:jc w:val="right"/>
              <w:rPr>
                <w:rFonts w:eastAsiaTheme="minorEastAsia"/>
              </w:rPr>
            </w:pPr>
            <w:r>
              <w:t>1 unité</w:t>
            </w:r>
          </w:p>
        </w:tc>
        <w:tc>
          <w:tcPr>
            <w:tcW w:w="13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3D85995" w14:textId="77777777" w:rsidR="005D07A6" w:rsidRDefault="00F42774">
            <w:pPr>
              <w:pStyle w:val="TA1"/>
              <w:jc w:val="right"/>
              <w:rPr>
                <w:rFonts w:eastAsiaTheme="minorEastAsia"/>
              </w:rPr>
            </w:pPr>
            <w:r>
              <w:t>30 € par unité</w:t>
            </w:r>
          </w:p>
        </w:tc>
      </w:tr>
      <w:tr w:rsidR="005D07A6" w14:paraId="37839D4A" w14:textId="77777777">
        <w:tc>
          <w:tcPr>
            <w:tcW w:w="17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4937D45" w14:textId="77777777" w:rsidR="005D07A6" w:rsidRDefault="00F42774">
            <w:pPr>
              <w:pStyle w:val="TA1"/>
              <w:rPr>
                <w:rFonts w:eastAsiaTheme="minorEastAsia"/>
              </w:rPr>
            </w:pPr>
            <w:r>
              <w:t>Temps machine en atelier 2</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9397BEE" w14:textId="77777777" w:rsidR="005D07A6" w:rsidRDefault="00F42774">
            <w:pPr>
              <w:pStyle w:val="TA1"/>
              <w:jc w:val="right"/>
              <w:rPr>
                <w:rFonts w:eastAsiaTheme="minorEastAsia"/>
              </w:rPr>
            </w:pPr>
            <w:r>
              <w:t>3 heures</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D545EAF" w14:textId="77777777" w:rsidR="005D07A6" w:rsidRDefault="00F42774">
            <w:pPr>
              <w:pStyle w:val="TA1"/>
              <w:jc w:val="right"/>
              <w:rPr>
                <w:rFonts w:eastAsiaTheme="minorEastAsia"/>
              </w:rPr>
            </w:pPr>
            <w:r>
              <w:t>5/3 heures</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8C137EB" w14:textId="77777777" w:rsidR="005D07A6" w:rsidRDefault="00F42774">
            <w:pPr>
              <w:pStyle w:val="TA1"/>
              <w:jc w:val="right"/>
              <w:rPr>
                <w:rFonts w:eastAsiaTheme="minorEastAsia"/>
              </w:rPr>
            </w:pPr>
            <w:r>
              <w:t>2 heures</w:t>
            </w:r>
          </w:p>
        </w:tc>
        <w:tc>
          <w:tcPr>
            <w:tcW w:w="138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78AEBC4" w14:textId="77777777" w:rsidR="005D07A6" w:rsidRDefault="005D07A6"/>
        </w:tc>
      </w:tr>
    </w:tbl>
    <w:p w14:paraId="4F35E69D" w14:textId="77777777" w:rsidR="005D07A6" w:rsidRDefault="00F42774">
      <w:pPr>
        <w:pStyle w:val="CT"/>
        <w:rPr>
          <w:rFonts w:eastAsiaTheme="minorEastAsia"/>
        </w:rPr>
      </w:pPr>
      <w:r>
        <w:t>Les composants A, B et D sont livrés par lots de 500 kg ; le composant C est livré par lots de 1 000 kg ; les composants E et F par lots de 2 000 kg et les emballages par lots de 5 000 unités.</w:t>
      </w:r>
    </w:p>
    <w:p w14:paraId="61DD00DB" w14:textId="77777777" w:rsidR="005D07A6" w:rsidRDefault="00F42774">
      <w:pPr>
        <w:pStyle w:val="TNiv1"/>
      </w:pPr>
      <w:r>
        <w:t>3. Charges indirectes</w:t>
      </w:r>
    </w:p>
    <w:p w14:paraId="7676BA01" w14:textId="77777777" w:rsidR="005D07A6" w:rsidRDefault="00F42774">
      <w:pPr>
        <w:pStyle w:val="CT"/>
      </w:pPr>
      <w:r>
        <w:t>Toutes les charges sont indirectes à l’exception des composants et des emballages.</w:t>
      </w:r>
    </w:p>
    <w:p w14:paraId="43CAC082" w14:textId="77777777" w:rsidR="005D07A6" w:rsidRDefault="00F42774">
      <w:pPr>
        <w:pStyle w:val="CT"/>
      </w:pPr>
      <w:r>
        <w:t>La société A a été découpée en cinq centres d’analyse :</w:t>
      </w:r>
    </w:p>
    <w:p w14:paraId="544816B7" w14:textId="77777777" w:rsidR="005D07A6" w:rsidRDefault="00F42774">
      <w:pPr>
        <w:pStyle w:val="ET"/>
      </w:pPr>
      <w:r>
        <w:t>C1 : approvisionnement</w:t>
      </w:r>
    </w:p>
    <w:p w14:paraId="6C9C3C00" w14:textId="77777777" w:rsidR="005D07A6" w:rsidRDefault="00F42774">
      <w:pPr>
        <w:pStyle w:val="ET"/>
      </w:pPr>
      <w:r>
        <w:t>C2 : atelier 1</w:t>
      </w:r>
    </w:p>
    <w:p w14:paraId="40B6BDD1" w14:textId="77777777" w:rsidR="005D07A6" w:rsidRDefault="00F42774">
      <w:pPr>
        <w:pStyle w:val="ET"/>
      </w:pPr>
      <w:r>
        <w:t>C3 : atelier 2</w:t>
      </w:r>
    </w:p>
    <w:p w14:paraId="3D9CD178" w14:textId="77777777" w:rsidR="005D07A6" w:rsidRDefault="00F42774">
      <w:pPr>
        <w:pStyle w:val="ET"/>
      </w:pPr>
      <w:r>
        <w:t>C4 : contrôle</w:t>
      </w:r>
    </w:p>
    <w:p w14:paraId="441CBA91" w14:textId="77777777" w:rsidR="005D07A6" w:rsidRDefault="00F42774">
      <w:pPr>
        <w:pStyle w:val="ET"/>
      </w:pPr>
      <w:r>
        <w:t>C5 : administration</w:t>
      </w:r>
    </w:p>
    <w:tbl>
      <w:tblPr>
        <w:tblW w:w="7660" w:type="dxa"/>
        <w:tblInd w:w="1701" w:type="dxa"/>
        <w:tblLook w:val="04A0" w:firstRow="1" w:lastRow="0" w:firstColumn="1" w:lastColumn="0" w:noHBand="0" w:noVBand="1"/>
      </w:tblPr>
      <w:tblGrid>
        <w:gridCol w:w="2094"/>
        <w:gridCol w:w="1066"/>
        <w:gridCol w:w="1268"/>
        <w:gridCol w:w="1066"/>
        <w:gridCol w:w="1066"/>
        <w:gridCol w:w="1100"/>
      </w:tblGrid>
      <w:tr w:rsidR="005D07A6" w14:paraId="055E7497" w14:textId="77777777">
        <w:tc>
          <w:tcPr>
            <w:tcW w:w="1620" w:type="dxa"/>
            <w:tcBorders>
              <w:top w:val="nil"/>
              <w:left w:val="nil"/>
              <w:bottom w:val="single" w:sz="4" w:space="0" w:color="auto"/>
              <w:right w:val="single" w:sz="4" w:space="0" w:color="auto"/>
            </w:tcBorders>
            <w:tcMar>
              <w:top w:w="0" w:type="dxa"/>
              <w:left w:w="2" w:type="dxa"/>
              <w:bottom w:w="0" w:type="dxa"/>
              <w:right w:w="2" w:type="dxa"/>
            </w:tcMar>
            <w:hideMark/>
          </w:tcPr>
          <w:p w14:paraId="1D2E1B94" w14:textId="77777777" w:rsidR="005D07A6" w:rsidRDefault="005D07A6"/>
        </w:tc>
        <w:tc>
          <w:tcPr>
            <w:tcW w:w="82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CE4BA83" w14:textId="77777777" w:rsidR="005D07A6" w:rsidRDefault="00F42774">
            <w:pPr>
              <w:pStyle w:val="TA1"/>
              <w:jc w:val="center"/>
              <w:rPr>
                <w:rFonts w:eastAsiaTheme="minorEastAsia"/>
              </w:rPr>
            </w:pPr>
            <w:r>
              <w:rPr>
                <w:b/>
                <w:bCs/>
              </w:rPr>
              <w:t>C1</w:t>
            </w:r>
          </w:p>
        </w:tc>
        <w:tc>
          <w:tcPr>
            <w:tcW w:w="82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DD3DA7A" w14:textId="77777777" w:rsidR="005D07A6" w:rsidRDefault="00F42774">
            <w:pPr>
              <w:pStyle w:val="TA1"/>
              <w:jc w:val="center"/>
              <w:rPr>
                <w:rFonts w:eastAsiaTheme="minorEastAsia"/>
              </w:rPr>
            </w:pPr>
            <w:r>
              <w:rPr>
                <w:b/>
                <w:bCs/>
              </w:rPr>
              <w:t>C2</w:t>
            </w:r>
          </w:p>
        </w:tc>
        <w:tc>
          <w:tcPr>
            <w:tcW w:w="82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3715E94" w14:textId="77777777" w:rsidR="005D07A6" w:rsidRDefault="00F42774">
            <w:pPr>
              <w:pStyle w:val="TA1"/>
              <w:jc w:val="center"/>
              <w:rPr>
                <w:rFonts w:eastAsiaTheme="minorEastAsia"/>
              </w:rPr>
            </w:pPr>
            <w:r>
              <w:rPr>
                <w:b/>
                <w:bCs/>
              </w:rPr>
              <w:t>C3</w:t>
            </w:r>
          </w:p>
        </w:tc>
        <w:tc>
          <w:tcPr>
            <w:tcW w:w="82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F460897" w14:textId="77777777" w:rsidR="005D07A6" w:rsidRDefault="00F42774">
            <w:pPr>
              <w:pStyle w:val="TA1"/>
              <w:jc w:val="center"/>
              <w:rPr>
                <w:rFonts w:eastAsiaTheme="minorEastAsia"/>
              </w:rPr>
            </w:pPr>
            <w:r>
              <w:rPr>
                <w:b/>
                <w:bCs/>
              </w:rPr>
              <w:t>C4</w:t>
            </w:r>
          </w:p>
        </w:tc>
        <w:tc>
          <w:tcPr>
            <w:tcW w:w="82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CC464DE" w14:textId="77777777" w:rsidR="005D07A6" w:rsidRDefault="00F42774">
            <w:pPr>
              <w:pStyle w:val="TA1"/>
              <w:jc w:val="center"/>
              <w:rPr>
                <w:rFonts w:eastAsiaTheme="minorEastAsia"/>
              </w:rPr>
            </w:pPr>
            <w:r>
              <w:rPr>
                <w:b/>
                <w:bCs/>
              </w:rPr>
              <w:t>C5</w:t>
            </w:r>
          </w:p>
        </w:tc>
      </w:tr>
      <w:tr w:rsidR="005D07A6" w14:paraId="693B2582"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vAlign w:val="center"/>
            <w:hideMark/>
          </w:tcPr>
          <w:p w14:paraId="13AB7377" w14:textId="77777777" w:rsidR="005D07A6" w:rsidRDefault="00F42774">
            <w:pPr>
              <w:pStyle w:val="TA1"/>
              <w:rPr>
                <w:rFonts w:eastAsiaTheme="minorEastAsia"/>
              </w:rPr>
            </w:pPr>
            <w:r>
              <w:t>Total des charges indirectes</w:t>
            </w:r>
          </w:p>
        </w:tc>
        <w:tc>
          <w:tcPr>
            <w:tcW w:w="8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3794EF5" w14:textId="77777777" w:rsidR="005D07A6" w:rsidRDefault="00F42774">
            <w:pPr>
              <w:pStyle w:val="TA1"/>
              <w:jc w:val="center"/>
              <w:rPr>
                <w:rFonts w:eastAsiaTheme="minorEastAsia"/>
              </w:rPr>
            </w:pPr>
            <w:r>
              <w:t>282 500 €</w:t>
            </w:r>
          </w:p>
        </w:tc>
        <w:tc>
          <w:tcPr>
            <w:tcW w:w="8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FD6E5B8" w14:textId="77777777" w:rsidR="005D07A6" w:rsidRDefault="00F42774">
            <w:pPr>
              <w:pStyle w:val="TA1"/>
              <w:jc w:val="center"/>
              <w:rPr>
                <w:rFonts w:eastAsiaTheme="minorEastAsia"/>
              </w:rPr>
            </w:pPr>
            <w:r>
              <w:t>525 000 €</w:t>
            </w:r>
          </w:p>
        </w:tc>
        <w:tc>
          <w:tcPr>
            <w:tcW w:w="8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237A016" w14:textId="77777777" w:rsidR="005D07A6" w:rsidRDefault="00F42774">
            <w:pPr>
              <w:pStyle w:val="TA1"/>
              <w:jc w:val="center"/>
              <w:rPr>
                <w:rFonts w:eastAsiaTheme="minorEastAsia"/>
              </w:rPr>
            </w:pPr>
            <w:r>
              <w:t>813 000 €</w:t>
            </w:r>
          </w:p>
        </w:tc>
        <w:tc>
          <w:tcPr>
            <w:tcW w:w="8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B05101C" w14:textId="77777777" w:rsidR="005D07A6" w:rsidRDefault="00F42774">
            <w:pPr>
              <w:pStyle w:val="TA1"/>
              <w:jc w:val="center"/>
              <w:rPr>
                <w:rFonts w:eastAsiaTheme="minorEastAsia"/>
              </w:rPr>
            </w:pPr>
            <w:r>
              <w:t>25 000 €</w:t>
            </w:r>
          </w:p>
        </w:tc>
        <w:tc>
          <w:tcPr>
            <w:tcW w:w="8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C47CAC7" w14:textId="77777777" w:rsidR="005D07A6" w:rsidRDefault="00F42774">
            <w:pPr>
              <w:pStyle w:val="TA1"/>
              <w:jc w:val="center"/>
              <w:rPr>
                <w:rFonts w:eastAsiaTheme="minorEastAsia"/>
              </w:rPr>
            </w:pPr>
            <w:r>
              <w:t>164 550 €</w:t>
            </w:r>
          </w:p>
        </w:tc>
      </w:tr>
      <w:tr w:rsidR="005D07A6" w14:paraId="2E54545C" w14:textId="77777777">
        <w:tc>
          <w:tcPr>
            <w:tcW w:w="16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vAlign w:val="center"/>
            <w:hideMark/>
          </w:tcPr>
          <w:p w14:paraId="1D1AD7C0" w14:textId="77777777" w:rsidR="005D07A6" w:rsidRDefault="00F42774">
            <w:pPr>
              <w:pStyle w:val="TA1"/>
              <w:rPr>
                <w:rFonts w:eastAsiaTheme="minorEastAsia"/>
              </w:rPr>
            </w:pPr>
            <w:r>
              <w:t>Unités d’œuvre</w:t>
            </w:r>
          </w:p>
        </w:tc>
        <w:tc>
          <w:tcPr>
            <w:tcW w:w="8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9D3AD54" w14:textId="77777777" w:rsidR="005D07A6" w:rsidRDefault="00F42774">
            <w:pPr>
              <w:pStyle w:val="TA1"/>
              <w:jc w:val="center"/>
              <w:rPr>
                <w:rFonts w:eastAsiaTheme="minorEastAsia"/>
              </w:rPr>
            </w:pPr>
            <w:r>
              <w:t>kg achetés</w:t>
            </w:r>
          </w:p>
        </w:tc>
        <w:tc>
          <w:tcPr>
            <w:tcW w:w="8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8AD3B6B" w14:textId="77777777" w:rsidR="005D07A6" w:rsidRDefault="00F42774">
            <w:pPr>
              <w:pStyle w:val="TA1"/>
              <w:jc w:val="center"/>
              <w:rPr>
                <w:rFonts w:eastAsiaTheme="minorEastAsia"/>
              </w:rPr>
            </w:pPr>
            <w:r>
              <w:t>kg consommés</w:t>
            </w:r>
          </w:p>
        </w:tc>
        <w:tc>
          <w:tcPr>
            <w:tcW w:w="8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8CD51C8" w14:textId="77777777" w:rsidR="005D07A6" w:rsidRDefault="00F42774">
            <w:pPr>
              <w:pStyle w:val="TA1"/>
              <w:jc w:val="center"/>
              <w:rPr>
                <w:rFonts w:eastAsiaTheme="minorEastAsia"/>
              </w:rPr>
            </w:pPr>
            <w:r>
              <w:t>Heures-machine</w:t>
            </w:r>
          </w:p>
        </w:tc>
        <w:tc>
          <w:tcPr>
            <w:tcW w:w="8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7C764A9" w14:textId="77777777" w:rsidR="005D07A6" w:rsidRDefault="00F42774">
            <w:pPr>
              <w:pStyle w:val="TA1"/>
              <w:jc w:val="center"/>
              <w:rPr>
                <w:rFonts w:eastAsiaTheme="minorEastAsia"/>
              </w:rPr>
            </w:pPr>
            <w:r>
              <w:t>Nombre de produits</w:t>
            </w:r>
          </w:p>
        </w:tc>
        <w:tc>
          <w:tcPr>
            <w:tcW w:w="8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76D7CAA" w14:textId="77777777" w:rsidR="005D07A6" w:rsidRDefault="00F42774">
            <w:pPr>
              <w:pStyle w:val="TA1"/>
              <w:jc w:val="center"/>
              <w:rPr>
                <w:rFonts w:eastAsiaTheme="minorEastAsia"/>
              </w:rPr>
            </w:pPr>
            <w:r>
              <w:t>Coût de production</w:t>
            </w:r>
          </w:p>
        </w:tc>
      </w:tr>
    </w:tbl>
    <w:p w14:paraId="743515A6" w14:textId="77777777" w:rsidR="005D07A6" w:rsidRDefault="00F42774">
      <w:pPr>
        <w:pStyle w:val="TNiv1"/>
        <w:rPr>
          <w:rFonts w:eastAsiaTheme="minorEastAsia"/>
        </w:rPr>
      </w:pPr>
      <w:r>
        <w:t>4. Prix de vente</w:t>
      </w:r>
    </w:p>
    <w:tbl>
      <w:tblPr>
        <w:tblW w:w="2761" w:type="dxa"/>
        <w:tblInd w:w="1701" w:type="dxa"/>
        <w:tblLook w:val="04A0" w:firstRow="1" w:lastRow="0" w:firstColumn="1" w:lastColumn="0" w:noHBand="0" w:noVBand="1"/>
      </w:tblPr>
      <w:tblGrid>
        <w:gridCol w:w="921"/>
        <w:gridCol w:w="920"/>
        <w:gridCol w:w="920"/>
      </w:tblGrid>
      <w:tr w:rsidR="005D07A6" w14:paraId="0D060794" w14:textId="77777777">
        <w:tc>
          <w:tcPr>
            <w:tcW w:w="69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38C8568" w14:textId="77777777" w:rsidR="005D07A6" w:rsidRDefault="00F42774">
            <w:pPr>
              <w:pStyle w:val="TA1"/>
              <w:jc w:val="center"/>
              <w:rPr>
                <w:rFonts w:eastAsiaTheme="minorEastAsia"/>
              </w:rPr>
            </w:pPr>
            <w:r>
              <w:rPr>
                <w:b/>
                <w:bCs/>
              </w:rPr>
              <w:t>X</w:t>
            </w:r>
          </w:p>
        </w:tc>
        <w:tc>
          <w:tcPr>
            <w:tcW w:w="69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0E6A340" w14:textId="77777777" w:rsidR="005D07A6" w:rsidRDefault="00F42774">
            <w:pPr>
              <w:pStyle w:val="TA1"/>
              <w:jc w:val="center"/>
              <w:rPr>
                <w:rFonts w:eastAsiaTheme="minorEastAsia"/>
              </w:rPr>
            </w:pPr>
            <w:r>
              <w:rPr>
                <w:b/>
                <w:bCs/>
              </w:rPr>
              <w:t>Y</w:t>
            </w:r>
          </w:p>
        </w:tc>
        <w:tc>
          <w:tcPr>
            <w:tcW w:w="69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B119822" w14:textId="77777777" w:rsidR="005D07A6" w:rsidRDefault="00F42774">
            <w:pPr>
              <w:pStyle w:val="TA1"/>
              <w:jc w:val="center"/>
              <w:rPr>
                <w:rFonts w:eastAsiaTheme="minorEastAsia"/>
              </w:rPr>
            </w:pPr>
            <w:r>
              <w:rPr>
                <w:b/>
                <w:bCs/>
              </w:rPr>
              <w:t>Z</w:t>
            </w:r>
          </w:p>
        </w:tc>
      </w:tr>
      <w:tr w:rsidR="005D07A6" w14:paraId="3DB1CB3A" w14:textId="77777777">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B5D6739" w14:textId="77777777" w:rsidR="005D07A6" w:rsidRDefault="00F42774">
            <w:pPr>
              <w:pStyle w:val="TA1"/>
              <w:jc w:val="center"/>
              <w:rPr>
                <w:rFonts w:eastAsiaTheme="minorEastAsia"/>
              </w:rPr>
            </w:pPr>
            <w:r>
              <w:t>89 €</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94DC0DD" w14:textId="77777777" w:rsidR="005D07A6" w:rsidRDefault="00F42774">
            <w:pPr>
              <w:pStyle w:val="TA1"/>
              <w:jc w:val="center"/>
              <w:rPr>
                <w:rFonts w:eastAsiaTheme="minorEastAsia"/>
              </w:rPr>
            </w:pPr>
            <w:r>
              <w:t>115 €</w:t>
            </w:r>
          </w:p>
        </w:tc>
        <w:tc>
          <w:tcPr>
            <w:tcW w:w="69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6EC98E2" w14:textId="77777777" w:rsidR="005D07A6" w:rsidRDefault="00F42774">
            <w:pPr>
              <w:pStyle w:val="TA1"/>
              <w:jc w:val="center"/>
              <w:rPr>
                <w:rFonts w:eastAsiaTheme="minorEastAsia"/>
              </w:rPr>
            </w:pPr>
            <w:r>
              <w:t>180 €</w:t>
            </w:r>
          </w:p>
        </w:tc>
      </w:tr>
    </w:tbl>
    <w:p w14:paraId="68CE4197" w14:textId="77777777" w:rsidR="005D07A6" w:rsidRDefault="00F42774">
      <w:pPr>
        <w:pStyle w:val="TNiv1"/>
        <w:rPr>
          <w:rFonts w:eastAsiaTheme="minorEastAsia"/>
        </w:rPr>
      </w:pPr>
      <w:r>
        <w:t>5. Activités et inducteurs de coûts</w:t>
      </w:r>
    </w:p>
    <w:tbl>
      <w:tblPr>
        <w:tblW w:w="7620" w:type="dxa"/>
        <w:tblInd w:w="1701" w:type="dxa"/>
        <w:tblLook w:val="04A0" w:firstRow="1" w:lastRow="0" w:firstColumn="1" w:lastColumn="0" w:noHBand="0" w:noVBand="1"/>
      </w:tblPr>
      <w:tblGrid>
        <w:gridCol w:w="1360"/>
        <w:gridCol w:w="2440"/>
        <w:gridCol w:w="1360"/>
        <w:gridCol w:w="2460"/>
      </w:tblGrid>
      <w:tr w:rsidR="005D07A6" w14:paraId="63A47B18" w14:textId="77777777">
        <w:tc>
          <w:tcPr>
            <w:tcW w:w="10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BB72FAC" w14:textId="77777777" w:rsidR="005D07A6" w:rsidRDefault="00F42774">
            <w:pPr>
              <w:pStyle w:val="TA1"/>
              <w:jc w:val="center"/>
              <w:rPr>
                <w:rFonts w:eastAsiaTheme="minorEastAsia"/>
              </w:rPr>
            </w:pPr>
            <w:r>
              <w:rPr>
                <w:b/>
                <w:bCs/>
              </w:rPr>
              <w:t>Centre d’analyse</w:t>
            </w:r>
          </w:p>
        </w:tc>
        <w:tc>
          <w:tcPr>
            <w:tcW w:w="183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DACAFF3" w14:textId="77777777" w:rsidR="005D07A6" w:rsidRDefault="00F42774">
            <w:pPr>
              <w:pStyle w:val="TA1"/>
              <w:jc w:val="center"/>
              <w:rPr>
                <w:rFonts w:eastAsiaTheme="minorEastAsia"/>
              </w:rPr>
            </w:pPr>
            <w:r>
              <w:rPr>
                <w:b/>
                <w:bCs/>
              </w:rPr>
              <w:t>Activités</w:t>
            </w:r>
          </w:p>
        </w:tc>
        <w:tc>
          <w:tcPr>
            <w:tcW w:w="10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4E6EEA4" w14:textId="77777777" w:rsidR="005D07A6" w:rsidRDefault="00F42774">
            <w:pPr>
              <w:pStyle w:val="TA1"/>
              <w:jc w:val="center"/>
              <w:rPr>
                <w:rFonts w:eastAsiaTheme="minorEastAsia"/>
              </w:rPr>
            </w:pPr>
            <w:r>
              <w:rPr>
                <w:b/>
                <w:bCs/>
              </w:rPr>
              <w:t>Montant en €</w:t>
            </w:r>
          </w:p>
        </w:tc>
        <w:tc>
          <w:tcPr>
            <w:tcW w:w="184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A5E02F6" w14:textId="77777777" w:rsidR="005D07A6" w:rsidRDefault="00F42774">
            <w:pPr>
              <w:pStyle w:val="TA1"/>
              <w:jc w:val="center"/>
              <w:rPr>
                <w:rFonts w:eastAsiaTheme="minorEastAsia"/>
              </w:rPr>
            </w:pPr>
            <w:r>
              <w:rPr>
                <w:b/>
                <w:bCs/>
              </w:rPr>
              <w:t>Inducteur de coût</w:t>
            </w:r>
          </w:p>
        </w:tc>
      </w:tr>
      <w:tr w:rsidR="005D07A6" w14:paraId="1B7C2EB9" w14:textId="77777777">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8133EDB" w14:textId="77777777" w:rsidR="005D07A6" w:rsidRDefault="00F42774">
            <w:pPr>
              <w:pStyle w:val="TA1"/>
              <w:jc w:val="center"/>
              <w:rPr>
                <w:rFonts w:eastAsiaTheme="minorEastAsia"/>
              </w:rPr>
            </w:pPr>
            <w:r>
              <w:t>C1</w:t>
            </w:r>
          </w:p>
        </w:tc>
        <w:tc>
          <w:tcPr>
            <w:tcW w:w="18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55F2A0E" w14:textId="77777777" w:rsidR="005D07A6" w:rsidRDefault="00F42774">
            <w:pPr>
              <w:pStyle w:val="TA1"/>
              <w:rPr>
                <w:rFonts w:eastAsiaTheme="minorEastAsia"/>
              </w:rPr>
            </w:pPr>
            <w:r>
              <w:t>Relations fournisseurs</w:t>
            </w:r>
          </w:p>
        </w:tc>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EDD3467" w14:textId="77777777" w:rsidR="005D07A6" w:rsidRDefault="00F42774">
            <w:pPr>
              <w:pStyle w:val="TA1"/>
              <w:jc w:val="right"/>
              <w:rPr>
                <w:rFonts w:eastAsiaTheme="minorEastAsia"/>
              </w:rPr>
            </w:pPr>
            <w:r>
              <w:t>18 000</w:t>
            </w:r>
          </w:p>
        </w:tc>
        <w:tc>
          <w:tcPr>
            <w:tcW w:w="18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7301AAD" w14:textId="77777777" w:rsidR="005D07A6" w:rsidRDefault="00F42774">
            <w:pPr>
              <w:pStyle w:val="TA1"/>
              <w:rPr>
                <w:rFonts w:eastAsiaTheme="minorEastAsia"/>
              </w:rPr>
            </w:pPr>
            <w:r>
              <w:t>Nombre de références</w:t>
            </w:r>
            <w:r>
              <w:rPr>
                <w:rStyle w:val="TaAppelNote"/>
              </w:rPr>
              <w:t>(1)</w:t>
            </w:r>
          </w:p>
        </w:tc>
      </w:tr>
      <w:tr w:rsidR="005D07A6" w14:paraId="237CED63" w14:textId="77777777">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6193AD0" w14:textId="77777777" w:rsidR="005D07A6" w:rsidRDefault="00F42774">
            <w:pPr>
              <w:pStyle w:val="TA1"/>
              <w:jc w:val="center"/>
              <w:rPr>
                <w:rFonts w:eastAsiaTheme="minorEastAsia"/>
              </w:rPr>
            </w:pPr>
            <w:r>
              <w:t>C1</w:t>
            </w:r>
          </w:p>
        </w:tc>
        <w:tc>
          <w:tcPr>
            <w:tcW w:w="18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0F1FB9B" w14:textId="77777777" w:rsidR="005D07A6" w:rsidRDefault="00F42774">
            <w:pPr>
              <w:pStyle w:val="TA1"/>
              <w:rPr>
                <w:rFonts w:eastAsiaTheme="minorEastAsia"/>
              </w:rPr>
            </w:pPr>
            <w:r>
              <w:t>Contrôle réception</w:t>
            </w:r>
          </w:p>
        </w:tc>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E4E2C12" w14:textId="77777777" w:rsidR="005D07A6" w:rsidRDefault="00F42774">
            <w:pPr>
              <w:pStyle w:val="TA1"/>
              <w:jc w:val="right"/>
              <w:rPr>
                <w:rFonts w:eastAsiaTheme="minorEastAsia"/>
              </w:rPr>
            </w:pPr>
            <w:r>
              <w:t>125 000</w:t>
            </w:r>
          </w:p>
        </w:tc>
        <w:tc>
          <w:tcPr>
            <w:tcW w:w="18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7FD8250" w14:textId="77777777" w:rsidR="005D07A6" w:rsidRDefault="00F42774">
            <w:pPr>
              <w:pStyle w:val="TA1"/>
              <w:rPr>
                <w:rFonts w:eastAsiaTheme="minorEastAsia"/>
              </w:rPr>
            </w:pPr>
            <w:r>
              <w:t>Nombre de lots réceptionnés</w:t>
            </w:r>
          </w:p>
        </w:tc>
      </w:tr>
      <w:tr w:rsidR="005D07A6" w14:paraId="273E1CF3" w14:textId="77777777">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AABBCE5" w14:textId="77777777" w:rsidR="005D07A6" w:rsidRDefault="00F42774">
            <w:pPr>
              <w:pStyle w:val="TA1"/>
              <w:jc w:val="center"/>
              <w:rPr>
                <w:rFonts w:eastAsiaTheme="minorEastAsia"/>
              </w:rPr>
            </w:pPr>
            <w:r>
              <w:t>C1</w:t>
            </w:r>
          </w:p>
        </w:tc>
        <w:tc>
          <w:tcPr>
            <w:tcW w:w="18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97A4D11" w14:textId="77777777" w:rsidR="005D07A6" w:rsidRDefault="00F42774">
            <w:pPr>
              <w:pStyle w:val="TA1"/>
              <w:rPr>
                <w:rFonts w:eastAsiaTheme="minorEastAsia"/>
              </w:rPr>
            </w:pPr>
            <w:r>
              <w:t>Suivi des stocks</w:t>
            </w:r>
          </w:p>
        </w:tc>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3EB8800" w14:textId="77777777" w:rsidR="005D07A6" w:rsidRDefault="00F42774">
            <w:pPr>
              <w:pStyle w:val="TA1"/>
              <w:jc w:val="right"/>
              <w:rPr>
                <w:rFonts w:eastAsiaTheme="minorEastAsia"/>
              </w:rPr>
            </w:pPr>
            <w:r>
              <w:t>80 000</w:t>
            </w:r>
          </w:p>
        </w:tc>
        <w:tc>
          <w:tcPr>
            <w:tcW w:w="18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DCD4788" w14:textId="77777777" w:rsidR="005D07A6" w:rsidRDefault="00F42774">
            <w:pPr>
              <w:pStyle w:val="TA1"/>
              <w:rPr>
                <w:rFonts w:eastAsiaTheme="minorEastAsia"/>
              </w:rPr>
            </w:pPr>
            <w:r>
              <w:t>Nombre de références</w:t>
            </w:r>
          </w:p>
        </w:tc>
      </w:tr>
      <w:tr w:rsidR="005D07A6" w14:paraId="2D3931FB" w14:textId="77777777">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4E96960" w14:textId="77777777" w:rsidR="005D07A6" w:rsidRDefault="00F42774">
            <w:pPr>
              <w:pStyle w:val="TA1"/>
              <w:jc w:val="center"/>
              <w:rPr>
                <w:rFonts w:eastAsiaTheme="minorEastAsia"/>
              </w:rPr>
            </w:pPr>
            <w:r>
              <w:t>C1</w:t>
            </w:r>
          </w:p>
        </w:tc>
        <w:tc>
          <w:tcPr>
            <w:tcW w:w="18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97C4C35" w14:textId="77777777" w:rsidR="005D07A6" w:rsidRDefault="00F42774">
            <w:pPr>
              <w:pStyle w:val="TA1"/>
              <w:rPr>
                <w:rFonts w:eastAsiaTheme="minorEastAsia"/>
              </w:rPr>
            </w:pPr>
            <w:r>
              <w:t>Logistique interne</w:t>
            </w:r>
          </w:p>
        </w:tc>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0848046" w14:textId="77777777" w:rsidR="005D07A6" w:rsidRDefault="00F42774">
            <w:pPr>
              <w:pStyle w:val="TA1"/>
              <w:jc w:val="right"/>
              <w:rPr>
                <w:rFonts w:eastAsiaTheme="minorEastAsia"/>
              </w:rPr>
            </w:pPr>
            <w:r>
              <w:t>59 500</w:t>
            </w:r>
          </w:p>
        </w:tc>
        <w:tc>
          <w:tcPr>
            <w:tcW w:w="18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639A9F0" w14:textId="77777777" w:rsidR="005D07A6" w:rsidRDefault="00F42774">
            <w:pPr>
              <w:pStyle w:val="TA1"/>
              <w:rPr>
                <w:rFonts w:eastAsiaTheme="minorEastAsia"/>
              </w:rPr>
            </w:pPr>
            <w:r>
              <w:t>Nombre de manipulations</w:t>
            </w:r>
            <w:r>
              <w:rPr>
                <w:rStyle w:val="TaAppelNote"/>
              </w:rPr>
              <w:t>(2)</w:t>
            </w:r>
          </w:p>
        </w:tc>
      </w:tr>
      <w:tr w:rsidR="005D07A6" w14:paraId="79300089" w14:textId="77777777">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63F4334" w14:textId="77777777" w:rsidR="005D07A6" w:rsidRDefault="00F42774">
            <w:pPr>
              <w:pStyle w:val="TA1"/>
              <w:jc w:val="center"/>
              <w:rPr>
                <w:rFonts w:eastAsiaTheme="minorEastAsia"/>
              </w:rPr>
            </w:pPr>
            <w:r>
              <w:t>C2</w:t>
            </w:r>
          </w:p>
        </w:tc>
        <w:tc>
          <w:tcPr>
            <w:tcW w:w="18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401CD46" w14:textId="77777777" w:rsidR="005D07A6" w:rsidRDefault="00F42774">
            <w:pPr>
              <w:pStyle w:val="TA1"/>
              <w:rPr>
                <w:rFonts w:eastAsiaTheme="minorEastAsia"/>
              </w:rPr>
            </w:pPr>
            <w:r>
              <w:t>Ordonnancement</w:t>
            </w:r>
          </w:p>
        </w:tc>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42CD6CA" w14:textId="77777777" w:rsidR="005D07A6" w:rsidRDefault="00F42774">
            <w:pPr>
              <w:pStyle w:val="TA1"/>
              <w:jc w:val="right"/>
              <w:rPr>
                <w:rFonts w:eastAsiaTheme="minorEastAsia"/>
              </w:rPr>
            </w:pPr>
            <w:r>
              <w:t>25 000</w:t>
            </w:r>
          </w:p>
        </w:tc>
        <w:tc>
          <w:tcPr>
            <w:tcW w:w="18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738CD7D" w14:textId="77777777" w:rsidR="005D07A6" w:rsidRDefault="00F42774">
            <w:pPr>
              <w:pStyle w:val="TA1"/>
              <w:rPr>
                <w:rFonts w:eastAsiaTheme="minorEastAsia"/>
              </w:rPr>
            </w:pPr>
            <w:r>
              <w:t>Nombre de lots fabriqués</w:t>
            </w:r>
          </w:p>
        </w:tc>
      </w:tr>
      <w:tr w:rsidR="005D07A6" w14:paraId="0B02A295" w14:textId="77777777">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1917697" w14:textId="77777777" w:rsidR="005D07A6" w:rsidRDefault="00F42774">
            <w:pPr>
              <w:pStyle w:val="TA1"/>
              <w:jc w:val="center"/>
              <w:rPr>
                <w:rFonts w:eastAsiaTheme="minorEastAsia"/>
              </w:rPr>
            </w:pPr>
            <w:r>
              <w:t>C2</w:t>
            </w:r>
          </w:p>
        </w:tc>
        <w:tc>
          <w:tcPr>
            <w:tcW w:w="18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47F4B36" w14:textId="77777777" w:rsidR="005D07A6" w:rsidRDefault="00F42774">
            <w:pPr>
              <w:pStyle w:val="TA1"/>
              <w:rPr>
                <w:rFonts w:eastAsiaTheme="minorEastAsia"/>
              </w:rPr>
            </w:pPr>
            <w:r>
              <w:t>Conception</w:t>
            </w:r>
          </w:p>
        </w:tc>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2750D9E" w14:textId="77777777" w:rsidR="005D07A6" w:rsidRDefault="00F42774">
            <w:pPr>
              <w:pStyle w:val="TA1"/>
              <w:jc w:val="right"/>
              <w:rPr>
                <w:rFonts w:eastAsiaTheme="minorEastAsia"/>
              </w:rPr>
            </w:pPr>
            <w:r>
              <w:t>300 000</w:t>
            </w:r>
          </w:p>
        </w:tc>
        <w:tc>
          <w:tcPr>
            <w:tcW w:w="18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F98264F" w14:textId="77777777" w:rsidR="005D07A6" w:rsidRDefault="00F42774">
            <w:pPr>
              <w:pStyle w:val="TA1"/>
              <w:rPr>
                <w:rFonts w:eastAsiaTheme="minorEastAsia"/>
              </w:rPr>
            </w:pPr>
            <w:r>
              <w:t>Nombre de modèles</w:t>
            </w:r>
          </w:p>
        </w:tc>
      </w:tr>
      <w:tr w:rsidR="005D07A6" w14:paraId="5414FCB1" w14:textId="77777777">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F23E798" w14:textId="77777777" w:rsidR="005D07A6" w:rsidRDefault="00F42774">
            <w:pPr>
              <w:pStyle w:val="TA1"/>
              <w:jc w:val="center"/>
              <w:rPr>
                <w:rFonts w:eastAsiaTheme="minorEastAsia"/>
              </w:rPr>
            </w:pPr>
            <w:r>
              <w:t>C2</w:t>
            </w:r>
          </w:p>
        </w:tc>
        <w:tc>
          <w:tcPr>
            <w:tcW w:w="18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F78BEA3" w14:textId="77777777" w:rsidR="005D07A6" w:rsidRDefault="00F42774">
            <w:pPr>
              <w:pStyle w:val="TA1"/>
              <w:rPr>
                <w:rFonts w:eastAsiaTheme="minorEastAsia"/>
              </w:rPr>
            </w:pPr>
            <w:r>
              <w:t>Production</w:t>
            </w:r>
          </w:p>
        </w:tc>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63635F9" w14:textId="77777777" w:rsidR="005D07A6" w:rsidRDefault="00F42774">
            <w:pPr>
              <w:pStyle w:val="TA1"/>
              <w:jc w:val="right"/>
              <w:rPr>
                <w:rFonts w:eastAsiaTheme="minorEastAsia"/>
              </w:rPr>
            </w:pPr>
            <w:r>
              <w:t>200 000</w:t>
            </w:r>
          </w:p>
        </w:tc>
        <w:tc>
          <w:tcPr>
            <w:tcW w:w="18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8C18B98" w14:textId="77777777" w:rsidR="005D07A6" w:rsidRDefault="00F42774">
            <w:pPr>
              <w:pStyle w:val="TA1"/>
              <w:rPr>
                <w:rFonts w:eastAsiaTheme="minorEastAsia"/>
              </w:rPr>
            </w:pPr>
            <w:r>
              <w:t>Nombre de lots fabriqués</w:t>
            </w:r>
          </w:p>
        </w:tc>
      </w:tr>
      <w:tr w:rsidR="005D07A6" w14:paraId="551C4B0D" w14:textId="77777777">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42EEE2A" w14:textId="77777777" w:rsidR="005D07A6" w:rsidRDefault="00F42774">
            <w:pPr>
              <w:pStyle w:val="TA1"/>
              <w:jc w:val="center"/>
              <w:rPr>
                <w:rFonts w:eastAsiaTheme="minorEastAsia"/>
              </w:rPr>
            </w:pPr>
            <w:r>
              <w:t>C3</w:t>
            </w:r>
          </w:p>
        </w:tc>
        <w:tc>
          <w:tcPr>
            <w:tcW w:w="18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7738F42" w14:textId="77777777" w:rsidR="005D07A6" w:rsidRDefault="00F42774">
            <w:pPr>
              <w:pStyle w:val="TA1"/>
              <w:rPr>
                <w:rFonts w:eastAsiaTheme="minorEastAsia"/>
              </w:rPr>
            </w:pPr>
            <w:r>
              <w:t>Ordonnancement</w:t>
            </w:r>
          </w:p>
        </w:tc>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74BB431" w14:textId="77777777" w:rsidR="005D07A6" w:rsidRDefault="00F42774">
            <w:pPr>
              <w:pStyle w:val="TA1"/>
              <w:jc w:val="right"/>
              <w:rPr>
                <w:rFonts w:eastAsiaTheme="minorEastAsia"/>
              </w:rPr>
            </w:pPr>
            <w:r>
              <w:t>213 000</w:t>
            </w:r>
          </w:p>
        </w:tc>
        <w:tc>
          <w:tcPr>
            <w:tcW w:w="18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E4C6DC6" w14:textId="77777777" w:rsidR="005D07A6" w:rsidRDefault="00F42774">
            <w:pPr>
              <w:pStyle w:val="TA1"/>
              <w:rPr>
                <w:rFonts w:eastAsiaTheme="minorEastAsia"/>
              </w:rPr>
            </w:pPr>
            <w:r>
              <w:t>Poids des composants</w:t>
            </w:r>
          </w:p>
        </w:tc>
      </w:tr>
      <w:tr w:rsidR="005D07A6" w14:paraId="6F3941D3" w14:textId="77777777">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97810F5" w14:textId="77777777" w:rsidR="005D07A6" w:rsidRDefault="00F42774">
            <w:pPr>
              <w:pStyle w:val="TA1"/>
              <w:jc w:val="center"/>
              <w:rPr>
                <w:rFonts w:eastAsiaTheme="minorEastAsia"/>
              </w:rPr>
            </w:pPr>
            <w:r>
              <w:t>C3</w:t>
            </w:r>
          </w:p>
        </w:tc>
        <w:tc>
          <w:tcPr>
            <w:tcW w:w="18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E2F5BAC" w14:textId="77777777" w:rsidR="005D07A6" w:rsidRDefault="00F42774">
            <w:pPr>
              <w:pStyle w:val="TA1"/>
              <w:rPr>
                <w:rFonts w:eastAsiaTheme="minorEastAsia"/>
              </w:rPr>
            </w:pPr>
            <w:r>
              <w:t>Production</w:t>
            </w:r>
          </w:p>
        </w:tc>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9DCB911" w14:textId="77777777" w:rsidR="005D07A6" w:rsidRDefault="00F42774">
            <w:pPr>
              <w:pStyle w:val="TA1"/>
              <w:jc w:val="right"/>
              <w:rPr>
                <w:rFonts w:eastAsiaTheme="minorEastAsia"/>
              </w:rPr>
            </w:pPr>
            <w:r>
              <w:t>600 000</w:t>
            </w:r>
          </w:p>
        </w:tc>
        <w:tc>
          <w:tcPr>
            <w:tcW w:w="18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3B48402" w14:textId="77777777" w:rsidR="005D07A6" w:rsidRDefault="00F42774">
            <w:pPr>
              <w:pStyle w:val="TA1"/>
              <w:rPr>
                <w:rFonts w:eastAsiaTheme="minorEastAsia"/>
              </w:rPr>
            </w:pPr>
            <w:r>
              <w:t>Temps machine</w:t>
            </w:r>
          </w:p>
        </w:tc>
      </w:tr>
      <w:tr w:rsidR="005D07A6" w14:paraId="62FA9C16" w14:textId="77777777">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29F3AA9" w14:textId="77777777" w:rsidR="005D07A6" w:rsidRDefault="00F42774">
            <w:pPr>
              <w:pStyle w:val="TA1"/>
              <w:jc w:val="center"/>
              <w:rPr>
                <w:rFonts w:eastAsiaTheme="minorEastAsia"/>
              </w:rPr>
            </w:pPr>
            <w:r>
              <w:t>C4</w:t>
            </w:r>
          </w:p>
        </w:tc>
        <w:tc>
          <w:tcPr>
            <w:tcW w:w="18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19A1460" w14:textId="77777777" w:rsidR="005D07A6" w:rsidRDefault="00F42774">
            <w:pPr>
              <w:pStyle w:val="TA1"/>
              <w:rPr>
                <w:rFonts w:eastAsiaTheme="minorEastAsia"/>
              </w:rPr>
            </w:pPr>
            <w:r>
              <w:t>Contrôle</w:t>
            </w:r>
          </w:p>
        </w:tc>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F0C7C71" w14:textId="77777777" w:rsidR="005D07A6" w:rsidRDefault="00F42774">
            <w:pPr>
              <w:pStyle w:val="TA1"/>
              <w:jc w:val="right"/>
              <w:rPr>
                <w:rFonts w:eastAsiaTheme="minorEastAsia"/>
              </w:rPr>
            </w:pPr>
            <w:r>
              <w:t>25 000</w:t>
            </w:r>
          </w:p>
        </w:tc>
        <w:tc>
          <w:tcPr>
            <w:tcW w:w="18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D0EFC88" w14:textId="77777777" w:rsidR="005D07A6" w:rsidRDefault="00F42774">
            <w:pPr>
              <w:pStyle w:val="TA1"/>
              <w:rPr>
                <w:rFonts w:eastAsiaTheme="minorEastAsia"/>
              </w:rPr>
            </w:pPr>
            <w:r>
              <w:t>Nombre de lots fabriqués</w:t>
            </w:r>
          </w:p>
        </w:tc>
      </w:tr>
      <w:tr w:rsidR="005D07A6" w14:paraId="2F94244C" w14:textId="77777777">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342D80D" w14:textId="77777777" w:rsidR="005D07A6" w:rsidRDefault="00F42774">
            <w:pPr>
              <w:pStyle w:val="TA1"/>
              <w:jc w:val="center"/>
              <w:rPr>
                <w:rFonts w:eastAsiaTheme="minorEastAsia"/>
              </w:rPr>
            </w:pPr>
            <w:r>
              <w:t>C5</w:t>
            </w:r>
          </w:p>
        </w:tc>
        <w:tc>
          <w:tcPr>
            <w:tcW w:w="18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6673F50" w14:textId="77777777" w:rsidR="005D07A6" w:rsidRDefault="00F42774">
            <w:pPr>
              <w:pStyle w:val="TA1"/>
              <w:rPr>
                <w:rFonts w:eastAsiaTheme="minorEastAsia"/>
              </w:rPr>
            </w:pPr>
            <w:r>
              <w:t>Administration générale</w:t>
            </w:r>
          </w:p>
        </w:tc>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1F4E309" w14:textId="77777777" w:rsidR="005D07A6" w:rsidRDefault="00F42774">
            <w:pPr>
              <w:pStyle w:val="TA1"/>
              <w:jc w:val="right"/>
              <w:rPr>
                <w:rFonts w:eastAsiaTheme="minorEastAsia"/>
              </w:rPr>
            </w:pPr>
            <w:r>
              <w:t>164 550</w:t>
            </w:r>
          </w:p>
        </w:tc>
        <w:tc>
          <w:tcPr>
            <w:tcW w:w="18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AB6BD97" w14:textId="77777777" w:rsidR="005D07A6" w:rsidRDefault="00F42774">
            <w:pPr>
              <w:pStyle w:val="TA1"/>
              <w:rPr>
                <w:rFonts w:eastAsiaTheme="minorEastAsia"/>
              </w:rPr>
            </w:pPr>
            <w:r>
              <w:t>Coût ajouté</w:t>
            </w:r>
            <w:r>
              <w:rPr>
                <w:rStyle w:val="TaAppelNote"/>
              </w:rPr>
              <w:t>(3)</w:t>
            </w:r>
          </w:p>
        </w:tc>
      </w:tr>
    </w:tbl>
    <w:p w14:paraId="6141344D" w14:textId="77777777" w:rsidR="005D07A6" w:rsidRDefault="00F42774">
      <w:pPr>
        <w:pStyle w:val="TA3"/>
        <w:rPr>
          <w:rFonts w:eastAsiaTheme="minorEastAsia"/>
        </w:rPr>
      </w:pPr>
      <w:r>
        <w:t>1. De manière à éviter une approche volumique, l’inducteur nombre de références sera réparti au prorata des quantités consommées par les différents produits.</w:t>
      </w:r>
    </w:p>
    <w:p w14:paraId="1D804CC2" w14:textId="77777777" w:rsidR="005D07A6" w:rsidRDefault="00F42774">
      <w:pPr>
        <w:pStyle w:val="TA3"/>
      </w:pPr>
      <w:r>
        <w:t>2. Le nombre de manipulations pour un produit est le nombre de lots pour le produit × nombre de références composant pour le produit.</w:t>
      </w:r>
    </w:p>
    <w:p w14:paraId="5E0D7FB3" w14:textId="77777777" w:rsidR="005D07A6" w:rsidRDefault="00F42774">
      <w:pPr>
        <w:pStyle w:val="TA3"/>
      </w:pPr>
      <w:r>
        <w:t>3. Le coût ajouté est la somme de tous les frais internes à l’exception des frais de l’activité administration générale.</w:t>
      </w:r>
    </w:p>
    <w:p w14:paraId="46E8CBF8" w14:textId="77777777" w:rsidR="005D07A6" w:rsidRDefault="00F42774">
      <w:pPr>
        <w:pStyle w:val="TexteEnonceQuestion"/>
      </w:pPr>
      <w:r>
        <w:rPr>
          <w:rStyle w:val="NEnonceQuestion"/>
        </w:rPr>
        <w:t>1. </w:t>
      </w:r>
      <w:r>
        <w:t>À l’aide des renseignements 1 à 4, calculez les coûts de revient (avec le détail unitaire des coûts) et les résultats analytiques par la méthode des centres d’analyse.</w:t>
      </w:r>
    </w:p>
    <w:p w14:paraId="6BE5D00B" w14:textId="77777777" w:rsidR="005D07A6" w:rsidRDefault="00F42774">
      <w:pPr>
        <w:pStyle w:val="TexteEnonceQuestion"/>
      </w:pPr>
      <w:r>
        <w:rPr>
          <w:rStyle w:val="NEnonceQuestion"/>
        </w:rPr>
        <w:t>2. </w:t>
      </w:r>
      <w:r>
        <w:t>Commentez les résultats obtenus.</w:t>
      </w:r>
    </w:p>
    <w:p w14:paraId="6A6B25DD" w14:textId="77777777" w:rsidR="005D07A6" w:rsidRDefault="00F42774">
      <w:pPr>
        <w:pStyle w:val="TexteEnonceQuestion"/>
      </w:pPr>
      <w:r>
        <w:rPr>
          <w:rStyle w:val="NEnonceQuestion"/>
        </w:rPr>
        <w:t>3. </w:t>
      </w:r>
      <w:r>
        <w:t>À l’aide des renseignements 1 à 5, recalculez les coûts de revient (avec le détail unitaire des coûts) et les résultats analytiques par la méthode des coûts à base d’activités (par souci de simplification, il ne sera pas fait de calcul en fonction de la taille des lots fabriqués).</w:t>
      </w:r>
    </w:p>
    <w:p w14:paraId="2B987078" w14:textId="77777777" w:rsidR="005D07A6" w:rsidRDefault="00F42774">
      <w:pPr>
        <w:pStyle w:val="TexteEnonceQuestion"/>
      </w:pPr>
      <w:r>
        <w:rPr>
          <w:rStyle w:val="NEnonceQuestion"/>
        </w:rPr>
        <w:t>4. </w:t>
      </w:r>
      <w:r>
        <w:t>Concluez.</w:t>
      </w:r>
    </w:p>
    <w:p w14:paraId="121F75A0" w14:textId="77777777" w:rsidR="005D07A6" w:rsidRDefault="00F42774">
      <w:pPr>
        <w:pStyle w:val="TexteEnonceQuestion"/>
      </w:pPr>
      <w:r>
        <w:rPr>
          <w:rStyle w:val="NEnonceQuestion"/>
        </w:rPr>
        <w:t>5. </w:t>
      </w:r>
      <w:r>
        <w:t>Complément sur l’inducteur référence. Le texte aurait pu proposer une autre méthode.</w:t>
      </w:r>
    </w:p>
    <w:p w14:paraId="5BF04048" w14:textId="77777777" w:rsidR="005D07A6" w:rsidRDefault="00F42774">
      <w:pPr>
        <w:pStyle w:val="TexteEnonceQuestion"/>
      </w:pPr>
      <w:r>
        <w:t>Par exemple : l’imputation au coût total d’un produit se fera en remarquant qu’un produit ne consomme qu’un tiers de référence si elle est commune aux trois produits, une demi-</w:t>
      </w:r>
      <w:r>
        <w:lastRenderedPageBreak/>
        <w:t>référence si elle n’est commune qu’à deux produits et bien entendu une référence si elle n’est utilisée que par un produit.</w:t>
      </w:r>
    </w:p>
    <w:p w14:paraId="2ADEFD19" w14:textId="77777777" w:rsidR="005D07A6" w:rsidRDefault="00F42774">
      <w:pPr>
        <w:pStyle w:val="finfilet"/>
      </w:pPr>
      <w:r>
        <w:t>Fin Enonce</w:t>
      </w:r>
    </w:p>
    <w:p w14:paraId="47A073FC" w14:textId="77777777" w:rsidR="005D07A6" w:rsidRDefault="00F42774">
      <w:pPr>
        <w:pStyle w:val="debutfilet"/>
      </w:pPr>
      <w:r>
        <w:t>Corrige</w:t>
      </w:r>
    </w:p>
    <w:p w14:paraId="718E6475" w14:textId="77777777" w:rsidR="005D07A6" w:rsidRDefault="00F42774">
      <w:pPr>
        <w:pStyle w:val="LibelleRubrique"/>
      </w:pPr>
      <w:r>
        <w:t>Corrigé</w:t>
      </w:r>
    </w:p>
    <w:p w14:paraId="7EB0DB81" w14:textId="77777777" w:rsidR="005D07A6" w:rsidRDefault="00F42774">
      <w:pPr>
        <w:pStyle w:val="TNiv1"/>
      </w:pPr>
      <w:r>
        <w:rPr>
          <w:rStyle w:val="RefQuestion"/>
        </w:rPr>
        <w:t>1</w:t>
      </w:r>
      <w:r>
        <w:t>. Méthode des centres d’analyse</w:t>
      </w:r>
    </w:p>
    <w:p w14:paraId="61E1DF91" w14:textId="77777777" w:rsidR="005D07A6" w:rsidRDefault="00F42774">
      <w:pPr>
        <w:pStyle w:val="TT"/>
      </w:pPr>
      <w:r>
        <w:t>Calcul du coût des unités d’œuvre</w:t>
      </w:r>
    </w:p>
    <w:tbl>
      <w:tblPr>
        <w:tblW w:w="7501" w:type="dxa"/>
        <w:tblInd w:w="1701" w:type="dxa"/>
        <w:tblLook w:val="04A0" w:firstRow="1" w:lastRow="0" w:firstColumn="1" w:lastColumn="0" w:noHBand="0" w:noVBand="1"/>
      </w:tblPr>
      <w:tblGrid>
        <w:gridCol w:w="1901"/>
        <w:gridCol w:w="1094"/>
        <w:gridCol w:w="1184"/>
        <w:gridCol w:w="1123"/>
        <w:gridCol w:w="924"/>
        <w:gridCol w:w="1275"/>
      </w:tblGrid>
      <w:tr w:rsidR="005D07A6" w14:paraId="3BC15A92" w14:textId="77777777">
        <w:tc>
          <w:tcPr>
            <w:tcW w:w="1575" w:type="dxa"/>
            <w:tcBorders>
              <w:top w:val="nil"/>
              <w:left w:val="nil"/>
              <w:bottom w:val="single" w:sz="4" w:space="0" w:color="auto"/>
              <w:right w:val="single" w:sz="4" w:space="0" w:color="auto"/>
            </w:tcBorders>
            <w:tcMar>
              <w:top w:w="0" w:type="dxa"/>
              <w:left w:w="2" w:type="dxa"/>
              <w:bottom w:w="0" w:type="dxa"/>
              <w:right w:w="2" w:type="dxa"/>
            </w:tcMar>
            <w:hideMark/>
          </w:tcPr>
          <w:p w14:paraId="314AB9AF" w14:textId="77777777" w:rsidR="005D07A6" w:rsidRDefault="005D07A6"/>
        </w:tc>
        <w:tc>
          <w:tcPr>
            <w:tcW w:w="64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AC239A8" w14:textId="77777777" w:rsidR="005D07A6" w:rsidRDefault="00F42774">
            <w:pPr>
              <w:pStyle w:val="TA1"/>
              <w:jc w:val="center"/>
              <w:rPr>
                <w:rFonts w:eastAsiaTheme="minorEastAsia"/>
              </w:rPr>
            </w:pPr>
            <w:r>
              <w:rPr>
                <w:b/>
                <w:bCs/>
              </w:rPr>
              <w:t>C1</w:t>
            </w:r>
          </w:p>
        </w:tc>
        <w:tc>
          <w:tcPr>
            <w:tcW w:w="90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82A95A9" w14:textId="77777777" w:rsidR="005D07A6" w:rsidRDefault="00F42774">
            <w:pPr>
              <w:pStyle w:val="TA1"/>
              <w:jc w:val="center"/>
              <w:rPr>
                <w:rFonts w:eastAsiaTheme="minorEastAsia"/>
              </w:rPr>
            </w:pPr>
            <w:r>
              <w:rPr>
                <w:b/>
                <w:bCs/>
              </w:rPr>
              <w:t>C2</w:t>
            </w:r>
          </w:p>
        </w:tc>
        <w:tc>
          <w:tcPr>
            <w:tcW w:w="93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4BC2DA5" w14:textId="77777777" w:rsidR="005D07A6" w:rsidRDefault="00F42774">
            <w:pPr>
              <w:pStyle w:val="TA1"/>
              <w:jc w:val="center"/>
              <w:rPr>
                <w:rFonts w:eastAsiaTheme="minorEastAsia"/>
              </w:rPr>
            </w:pPr>
            <w:r>
              <w:rPr>
                <w:b/>
                <w:bCs/>
              </w:rPr>
              <w:t>C3</w:t>
            </w:r>
          </w:p>
        </w:tc>
        <w:tc>
          <w:tcPr>
            <w:tcW w:w="76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22FBDBA" w14:textId="77777777" w:rsidR="005D07A6" w:rsidRDefault="00F42774">
            <w:pPr>
              <w:pStyle w:val="TA1"/>
              <w:jc w:val="center"/>
              <w:rPr>
                <w:rFonts w:eastAsiaTheme="minorEastAsia"/>
              </w:rPr>
            </w:pPr>
            <w:r>
              <w:rPr>
                <w:b/>
                <w:bCs/>
              </w:rPr>
              <w:t>C4</w:t>
            </w:r>
          </w:p>
        </w:tc>
        <w:tc>
          <w:tcPr>
            <w:tcW w:w="81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C8E578C" w14:textId="77777777" w:rsidR="005D07A6" w:rsidRDefault="00F42774">
            <w:pPr>
              <w:pStyle w:val="TA1"/>
              <w:jc w:val="center"/>
              <w:rPr>
                <w:rFonts w:eastAsiaTheme="minorEastAsia"/>
              </w:rPr>
            </w:pPr>
            <w:r>
              <w:rPr>
                <w:b/>
                <w:bCs/>
              </w:rPr>
              <w:t>C5</w:t>
            </w:r>
          </w:p>
        </w:tc>
      </w:tr>
      <w:tr w:rsidR="005D07A6" w14:paraId="3C612212" w14:textId="77777777">
        <w:tc>
          <w:tcPr>
            <w:tcW w:w="157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3BC5C2C" w14:textId="77777777" w:rsidR="005D07A6" w:rsidRDefault="00F42774">
            <w:pPr>
              <w:pStyle w:val="TA1"/>
              <w:rPr>
                <w:rFonts w:eastAsiaTheme="minorEastAsia"/>
              </w:rPr>
            </w:pPr>
            <w:r>
              <w:t>Total des charges indirectes</w:t>
            </w:r>
          </w:p>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C28C23F" w14:textId="77777777" w:rsidR="005D07A6" w:rsidRDefault="00F42774">
            <w:pPr>
              <w:pStyle w:val="TA1"/>
              <w:jc w:val="center"/>
              <w:rPr>
                <w:rFonts w:eastAsiaTheme="minorEastAsia"/>
              </w:rPr>
            </w:pPr>
            <w:r>
              <w:t>282 500</w:t>
            </w:r>
          </w:p>
        </w:tc>
        <w:tc>
          <w:tcPr>
            <w:tcW w:w="9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2B0E8EA" w14:textId="77777777" w:rsidR="005D07A6" w:rsidRDefault="00F42774">
            <w:pPr>
              <w:pStyle w:val="TA1"/>
              <w:jc w:val="center"/>
              <w:rPr>
                <w:rFonts w:eastAsiaTheme="minorEastAsia"/>
              </w:rPr>
            </w:pPr>
            <w:r>
              <w:t>525 000</w:t>
            </w:r>
          </w:p>
        </w:tc>
        <w:tc>
          <w:tcPr>
            <w:tcW w:w="9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7E446EE" w14:textId="77777777" w:rsidR="005D07A6" w:rsidRDefault="00F42774">
            <w:pPr>
              <w:pStyle w:val="TA1"/>
              <w:jc w:val="center"/>
              <w:rPr>
                <w:rFonts w:eastAsiaTheme="minorEastAsia"/>
              </w:rPr>
            </w:pPr>
            <w:r>
              <w:t>813 000</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B81DDEB" w14:textId="77777777" w:rsidR="005D07A6" w:rsidRDefault="00F42774">
            <w:pPr>
              <w:pStyle w:val="TA1"/>
              <w:jc w:val="center"/>
              <w:rPr>
                <w:rFonts w:eastAsiaTheme="minorEastAsia"/>
              </w:rPr>
            </w:pPr>
            <w:r>
              <w:t>25 000</w:t>
            </w:r>
          </w:p>
        </w:tc>
        <w:tc>
          <w:tcPr>
            <w:tcW w:w="8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02B68D3" w14:textId="77777777" w:rsidR="005D07A6" w:rsidRDefault="00F42774">
            <w:pPr>
              <w:pStyle w:val="TA1"/>
              <w:jc w:val="center"/>
              <w:rPr>
                <w:rFonts w:eastAsiaTheme="minorEastAsia"/>
              </w:rPr>
            </w:pPr>
            <w:r>
              <w:t>164 550</w:t>
            </w:r>
          </w:p>
        </w:tc>
      </w:tr>
      <w:tr w:rsidR="005D07A6" w14:paraId="3995F255" w14:textId="77777777">
        <w:tc>
          <w:tcPr>
            <w:tcW w:w="157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vAlign w:val="center"/>
            <w:hideMark/>
          </w:tcPr>
          <w:p w14:paraId="7564E7F3" w14:textId="77777777" w:rsidR="005D07A6" w:rsidRDefault="00F42774">
            <w:pPr>
              <w:pStyle w:val="TA1"/>
              <w:rPr>
                <w:rFonts w:eastAsiaTheme="minorEastAsia"/>
              </w:rPr>
            </w:pPr>
            <w:r>
              <w:t>Unités d’œuvre</w:t>
            </w:r>
          </w:p>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B234632" w14:textId="77777777" w:rsidR="005D07A6" w:rsidRDefault="00F42774">
            <w:pPr>
              <w:pStyle w:val="TA1"/>
              <w:jc w:val="center"/>
              <w:rPr>
                <w:rFonts w:eastAsiaTheme="minorEastAsia"/>
              </w:rPr>
            </w:pPr>
            <w:r>
              <w:t>kg achetés</w:t>
            </w:r>
          </w:p>
        </w:tc>
        <w:tc>
          <w:tcPr>
            <w:tcW w:w="9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348BBD0" w14:textId="77777777" w:rsidR="005D07A6" w:rsidRDefault="00F42774">
            <w:pPr>
              <w:pStyle w:val="TA1"/>
              <w:jc w:val="center"/>
              <w:rPr>
                <w:rFonts w:eastAsiaTheme="minorEastAsia"/>
              </w:rPr>
            </w:pPr>
            <w:r>
              <w:t>kg consommés</w:t>
            </w:r>
          </w:p>
        </w:tc>
        <w:tc>
          <w:tcPr>
            <w:tcW w:w="9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859F7A0" w14:textId="77777777" w:rsidR="005D07A6" w:rsidRDefault="00F42774">
            <w:pPr>
              <w:pStyle w:val="TA1"/>
              <w:jc w:val="center"/>
              <w:rPr>
                <w:rFonts w:eastAsiaTheme="minorEastAsia"/>
              </w:rPr>
            </w:pPr>
            <w:r>
              <w:t>Heures-machine</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E7D7F88" w14:textId="77777777" w:rsidR="005D07A6" w:rsidRDefault="00F42774">
            <w:pPr>
              <w:pStyle w:val="TA1"/>
              <w:jc w:val="center"/>
              <w:rPr>
                <w:rFonts w:eastAsiaTheme="minorEastAsia"/>
              </w:rPr>
            </w:pPr>
            <w:r>
              <w:t>Nombre de produits</w:t>
            </w:r>
          </w:p>
        </w:tc>
        <w:tc>
          <w:tcPr>
            <w:tcW w:w="8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F92460B" w14:textId="77777777" w:rsidR="005D07A6" w:rsidRDefault="00F42774">
            <w:pPr>
              <w:pStyle w:val="TA1"/>
              <w:jc w:val="center"/>
              <w:rPr>
                <w:rFonts w:eastAsiaTheme="minorEastAsia"/>
              </w:rPr>
            </w:pPr>
            <w:r>
              <w:t>Coût de production</w:t>
            </w:r>
          </w:p>
        </w:tc>
      </w:tr>
      <w:tr w:rsidR="005D07A6" w14:paraId="0E94AB3E" w14:textId="77777777">
        <w:tc>
          <w:tcPr>
            <w:tcW w:w="157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87E74A7" w14:textId="77777777" w:rsidR="005D07A6" w:rsidRDefault="00F42774">
            <w:pPr>
              <w:pStyle w:val="TA1"/>
              <w:rPr>
                <w:rFonts w:eastAsiaTheme="minorEastAsia"/>
              </w:rPr>
            </w:pPr>
            <w:r>
              <w:t>Nombre d’unités d’œuvre</w:t>
            </w:r>
          </w:p>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64E1957" w14:textId="77777777" w:rsidR="005D07A6" w:rsidRDefault="00F42774">
            <w:pPr>
              <w:pStyle w:val="TA1"/>
              <w:jc w:val="center"/>
              <w:rPr>
                <w:rFonts w:eastAsiaTheme="minorEastAsia"/>
              </w:rPr>
            </w:pPr>
            <w:r>
              <w:rPr>
                <w:rStyle w:val="TaAppelNote"/>
              </w:rPr>
              <w:t>(1)</w:t>
            </w:r>
            <w:r>
              <w:t>106 500</w:t>
            </w:r>
          </w:p>
        </w:tc>
        <w:tc>
          <w:tcPr>
            <w:tcW w:w="9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D2EDCF2" w14:textId="77777777" w:rsidR="005D07A6" w:rsidRDefault="00F42774">
            <w:pPr>
              <w:pStyle w:val="TA1"/>
              <w:jc w:val="center"/>
              <w:rPr>
                <w:rFonts w:eastAsiaTheme="minorEastAsia"/>
              </w:rPr>
            </w:pPr>
            <w:r>
              <w:rPr>
                <w:rStyle w:val="TaAppelNote"/>
              </w:rPr>
              <w:t>(1)</w:t>
            </w:r>
            <w:r>
              <w:t>106 500</w:t>
            </w:r>
          </w:p>
        </w:tc>
        <w:tc>
          <w:tcPr>
            <w:tcW w:w="9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9DF0E8D" w14:textId="77777777" w:rsidR="005D07A6" w:rsidRDefault="00F42774">
            <w:pPr>
              <w:pStyle w:val="TA1"/>
              <w:jc w:val="center"/>
              <w:rPr>
                <w:rFonts w:eastAsiaTheme="minorEastAsia"/>
              </w:rPr>
            </w:pPr>
            <w:r>
              <w:rPr>
                <w:rStyle w:val="TaAppelNote"/>
              </w:rPr>
              <w:t>(2)</w:t>
            </w:r>
            <w:r>
              <w:t>200 000</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D3DFA95" w14:textId="77777777" w:rsidR="005D07A6" w:rsidRDefault="00F42774">
            <w:pPr>
              <w:pStyle w:val="TA1"/>
              <w:jc w:val="center"/>
              <w:rPr>
                <w:rFonts w:eastAsiaTheme="minorEastAsia"/>
              </w:rPr>
            </w:pPr>
            <w:r>
              <w:t>85 000</w:t>
            </w:r>
          </w:p>
        </w:tc>
        <w:tc>
          <w:tcPr>
            <w:tcW w:w="8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DC30B49" w14:textId="77777777" w:rsidR="005D07A6" w:rsidRDefault="00F42774">
            <w:pPr>
              <w:pStyle w:val="TA1"/>
              <w:jc w:val="center"/>
              <w:rPr>
                <w:rFonts w:eastAsiaTheme="minorEastAsia"/>
              </w:rPr>
            </w:pPr>
            <w:r>
              <w:rPr>
                <w:rStyle w:val="TaAppelNote"/>
              </w:rPr>
              <w:t>(3)</w:t>
            </w:r>
            <w:r>
              <w:t>9 280 503</w:t>
            </w:r>
          </w:p>
        </w:tc>
      </w:tr>
      <w:tr w:rsidR="005D07A6" w14:paraId="79E0FC32" w14:textId="77777777">
        <w:tc>
          <w:tcPr>
            <w:tcW w:w="157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87A1414" w14:textId="77777777" w:rsidR="005D07A6" w:rsidRDefault="00F42774">
            <w:pPr>
              <w:pStyle w:val="TA1"/>
              <w:rPr>
                <w:rFonts w:eastAsiaTheme="minorEastAsia"/>
              </w:rPr>
            </w:pPr>
            <w:r>
              <w:t>Coût de l’unité d’œuvre</w:t>
            </w:r>
          </w:p>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E614A0F" w14:textId="77777777" w:rsidR="005D07A6" w:rsidRDefault="00F42774">
            <w:pPr>
              <w:pStyle w:val="TA1"/>
              <w:jc w:val="center"/>
              <w:rPr>
                <w:rFonts w:eastAsiaTheme="minorEastAsia"/>
              </w:rPr>
            </w:pPr>
            <w:r>
              <w:t>2,6526</w:t>
            </w:r>
          </w:p>
        </w:tc>
        <w:tc>
          <w:tcPr>
            <w:tcW w:w="9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56318F5" w14:textId="77777777" w:rsidR="005D07A6" w:rsidRDefault="00F42774">
            <w:pPr>
              <w:pStyle w:val="TA1"/>
              <w:jc w:val="center"/>
              <w:rPr>
                <w:rFonts w:eastAsiaTheme="minorEastAsia"/>
              </w:rPr>
            </w:pPr>
            <w:r>
              <w:t>4,9296</w:t>
            </w:r>
          </w:p>
        </w:tc>
        <w:tc>
          <w:tcPr>
            <w:tcW w:w="93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5C1646A" w14:textId="77777777" w:rsidR="005D07A6" w:rsidRDefault="00F42774">
            <w:pPr>
              <w:pStyle w:val="TA1"/>
              <w:jc w:val="center"/>
              <w:rPr>
                <w:rFonts w:eastAsiaTheme="minorEastAsia"/>
              </w:rPr>
            </w:pPr>
            <w:r>
              <w:t>4,0650</w:t>
            </w:r>
          </w:p>
        </w:tc>
        <w:tc>
          <w:tcPr>
            <w:tcW w:w="7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73628A0" w14:textId="77777777" w:rsidR="005D07A6" w:rsidRDefault="00F42774">
            <w:pPr>
              <w:pStyle w:val="TA1"/>
              <w:jc w:val="center"/>
              <w:rPr>
                <w:rFonts w:eastAsiaTheme="minorEastAsia"/>
              </w:rPr>
            </w:pPr>
            <w:r>
              <w:t>0,2941</w:t>
            </w:r>
          </w:p>
        </w:tc>
        <w:tc>
          <w:tcPr>
            <w:tcW w:w="8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3C14E2E" w14:textId="77777777" w:rsidR="005D07A6" w:rsidRDefault="00F42774">
            <w:pPr>
              <w:pStyle w:val="TA1"/>
              <w:jc w:val="center"/>
              <w:rPr>
                <w:rFonts w:eastAsiaTheme="minorEastAsia"/>
              </w:rPr>
            </w:pPr>
            <w:r>
              <w:t>0,0177</w:t>
            </w:r>
          </w:p>
        </w:tc>
      </w:tr>
    </w:tbl>
    <w:p w14:paraId="473800ED" w14:textId="77777777" w:rsidR="005D07A6" w:rsidRDefault="00F42774">
      <w:pPr>
        <w:pStyle w:val="TA3"/>
        <w:rPr>
          <w:rFonts w:eastAsiaTheme="minorEastAsia"/>
        </w:rPr>
      </w:pPr>
      <w:r>
        <w:t>1. 40 000 (0,1 + 0,2 + 0,4 + 0,5) + 30 000 (0,2 + 0,5 + 0,6) + 15 000 (0,1 + 0,3 + 0,6 + 0,3)</w:t>
      </w:r>
    </w:p>
    <w:p w14:paraId="4A885A31" w14:textId="77777777" w:rsidR="005D07A6" w:rsidRDefault="00F42774">
      <w:pPr>
        <w:pStyle w:val="TA3"/>
      </w:pPr>
      <w:r>
        <w:t>Il n’y a pas de stocks en raison du juste-à-temps.</w:t>
      </w:r>
    </w:p>
    <w:p w14:paraId="6BF8D853" w14:textId="77777777" w:rsidR="005D07A6" w:rsidRDefault="00F42774">
      <w:pPr>
        <w:pStyle w:val="TA3"/>
      </w:pPr>
      <w:r>
        <w:t>2. 40 000 × 3 + 30 000 × 5/3 + 15 000 × 2</w:t>
      </w:r>
    </w:p>
    <w:p w14:paraId="448FCFC7" w14:textId="77777777" w:rsidR="005D07A6" w:rsidRDefault="00F42774">
      <w:pPr>
        <w:pStyle w:val="TA3"/>
      </w:pPr>
      <w:r>
        <w:t>3. Voir tableau suivant : 40 000 × 87,5877 + 30 000 × 110,926 + 15 000 × 163,2810</w:t>
      </w:r>
    </w:p>
    <w:p w14:paraId="5C22E739" w14:textId="77777777" w:rsidR="005D07A6" w:rsidRDefault="00F42774">
      <w:pPr>
        <w:pStyle w:val="TT"/>
      </w:pPr>
      <w:r>
        <w:t>Coûts de revient et résultats analytiques</w:t>
      </w:r>
    </w:p>
    <w:tbl>
      <w:tblPr>
        <w:tblW w:w="7422" w:type="dxa"/>
        <w:tblInd w:w="1701" w:type="dxa"/>
        <w:tblLook w:val="04A0" w:firstRow="1" w:lastRow="0" w:firstColumn="1" w:lastColumn="0" w:noHBand="0" w:noVBand="1"/>
      </w:tblPr>
      <w:tblGrid>
        <w:gridCol w:w="1130"/>
        <w:gridCol w:w="519"/>
        <w:gridCol w:w="631"/>
        <w:gridCol w:w="856"/>
        <w:gridCol w:w="630"/>
        <w:gridCol w:w="630"/>
        <w:gridCol w:w="911"/>
        <w:gridCol w:w="630"/>
        <w:gridCol w:w="630"/>
        <w:gridCol w:w="855"/>
      </w:tblGrid>
      <w:tr w:rsidR="005D07A6" w14:paraId="1BC1B961" w14:textId="77777777">
        <w:tc>
          <w:tcPr>
            <w:tcW w:w="1005" w:type="dxa"/>
            <w:tcBorders>
              <w:top w:val="nil"/>
              <w:left w:val="nil"/>
              <w:bottom w:val="nil"/>
              <w:right w:val="single" w:sz="4" w:space="0" w:color="auto"/>
            </w:tcBorders>
            <w:tcMar>
              <w:top w:w="0" w:type="dxa"/>
              <w:left w:w="2" w:type="dxa"/>
              <w:bottom w:w="0" w:type="dxa"/>
              <w:right w:w="2" w:type="dxa"/>
            </w:tcMar>
            <w:hideMark/>
          </w:tcPr>
          <w:p w14:paraId="420D5F0E" w14:textId="77777777" w:rsidR="005D07A6" w:rsidRDefault="005D07A6"/>
        </w:tc>
        <w:tc>
          <w:tcPr>
            <w:tcW w:w="40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60484C3" w14:textId="77777777" w:rsidR="005D07A6" w:rsidRDefault="00F42774">
            <w:pPr>
              <w:pStyle w:val="TA1"/>
              <w:jc w:val="center"/>
              <w:rPr>
                <w:rFonts w:eastAsiaTheme="minorEastAsia"/>
              </w:rPr>
            </w:pPr>
            <w:r>
              <w:rPr>
                <w:b/>
                <w:bCs/>
              </w:rPr>
              <w:t>X</w:t>
            </w:r>
          </w:p>
        </w:tc>
        <w:tc>
          <w:tcPr>
            <w:tcW w:w="46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665FD2A" w14:textId="77777777" w:rsidR="005D07A6" w:rsidRDefault="00F42774">
            <w:pPr>
              <w:pStyle w:val="TA1"/>
              <w:jc w:val="center"/>
              <w:rPr>
                <w:rFonts w:eastAsiaTheme="minorEastAsia"/>
              </w:rPr>
            </w:pPr>
            <w:r>
              <w:rPr>
                <w:b/>
                <w:bCs/>
              </w:rPr>
              <w:t>Y</w:t>
            </w:r>
          </w:p>
        </w:tc>
        <w:tc>
          <w:tcPr>
            <w:tcW w:w="465"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1AE034E" w14:textId="77777777" w:rsidR="005D07A6" w:rsidRDefault="00F42774">
            <w:pPr>
              <w:pStyle w:val="TA1"/>
              <w:jc w:val="center"/>
              <w:rPr>
                <w:rFonts w:eastAsiaTheme="minorEastAsia"/>
              </w:rPr>
            </w:pPr>
            <w:r>
              <w:rPr>
                <w:b/>
                <w:bCs/>
              </w:rPr>
              <w:t>Z</w:t>
            </w:r>
          </w:p>
        </w:tc>
      </w:tr>
      <w:tr w:rsidR="005D07A6" w14:paraId="6515459D" w14:textId="77777777">
        <w:tc>
          <w:tcPr>
            <w:tcW w:w="1005" w:type="dxa"/>
            <w:tcBorders>
              <w:top w:val="nil"/>
              <w:left w:val="nil"/>
              <w:bottom w:val="single" w:sz="4" w:space="0" w:color="auto"/>
              <w:right w:val="single" w:sz="4" w:space="0" w:color="auto"/>
            </w:tcBorders>
            <w:tcMar>
              <w:top w:w="0" w:type="dxa"/>
              <w:left w:w="2" w:type="dxa"/>
              <w:bottom w:w="0" w:type="dxa"/>
              <w:right w:w="2" w:type="dxa"/>
            </w:tcMar>
            <w:hideMark/>
          </w:tcPr>
          <w:p w14:paraId="71F1833F" w14:textId="77777777" w:rsidR="005D07A6" w:rsidRDefault="005D07A6"/>
        </w:tc>
        <w:tc>
          <w:tcPr>
            <w:tcW w:w="4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944ECE4" w14:textId="77777777" w:rsidR="005D07A6" w:rsidRDefault="00F42774">
            <w:pPr>
              <w:pStyle w:val="TA1"/>
              <w:jc w:val="center"/>
              <w:rPr>
                <w:rFonts w:eastAsiaTheme="minorEastAsia"/>
              </w:rPr>
            </w:pPr>
            <w:r>
              <w:rPr>
                <w:b/>
                <w:bCs/>
              </w:rPr>
              <w:t>Q</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440BAF9" w14:textId="77777777" w:rsidR="005D07A6" w:rsidRDefault="00F42774">
            <w:pPr>
              <w:pStyle w:val="TA1"/>
              <w:jc w:val="center"/>
              <w:rPr>
                <w:rFonts w:eastAsiaTheme="minorEastAsia"/>
              </w:rPr>
            </w:pPr>
            <w:r>
              <w:rPr>
                <w:b/>
                <w:bCs/>
              </w:rPr>
              <w:t>CU</w:t>
            </w:r>
          </w:p>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251BBA0" w14:textId="77777777" w:rsidR="005D07A6" w:rsidRDefault="00F42774">
            <w:pPr>
              <w:pStyle w:val="TA1"/>
              <w:jc w:val="center"/>
              <w:rPr>
                <w:rFonts w:eastAsiaTheme="minorEastAsia"/>
              </w:rPr>
            </w:pPr>
            <w:r>
              <w:rPr>
                <w:b/>
                <w:bCs/>
              </w:rPr>
              <w:t>M</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497A273" w14:textId="77777777" w:rsidR="005D07A6" w:rsidRDefault="00F42774">
            <w:pPr>
              <w:pStyle w:val="TA1"/>
              <w:jc w:val="center"/>
              <w:rPr>
                <w:rFonts w:eastAsiaTheme="minorEastAsia"/>
              </w:rPr>
            </w:pPr>
            <w:r>
              <w:rPr>
                <w:b/>
                <w:bCs/>
              </w:rPr>
              <w:t>Q</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83FC789" w14:textId="77777777" w:rsidR="005D07A6" w:rsidRDefault="00F42774">
            <w:pPr>
              <w:pStyle w:val="TA1"/>
              <w:jc w:val="center"/>
              <w:rPr>
                <w:rFonts w:eastAsiaTheme="minorEastAsia"/>
              </w:rPr>
            </w:pPr>
            <w:r>
              <w:rPr>
                <w:b/>
                <w:bCs/>
              </w:rPr>
              <w:t>CU</w:t>
            </w:r>
          </w:p>
        </w:tc>
        <w:tc>
          <w:tcPr>
            <w:tcW w:w="6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1D68E43" w14:textId="77777777" w:rsidR="005D07A6" w:rsidRDefault="00F42774">
            <w:pPr>
              <w:pStyle w:val="TA1"/>
              <w:jc w:val="center"/>
              <w:rPr>
                <w:rFonts w:eastAsiaTheme="minorEastAsia"/>
              </w:rPr>
            </w:pPr>
            <w:r>
              <w:rPr>
                <w:b/>
                <w:bCs/>
              </w:rPr>
              <w:t>M</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F1C82B8" w14:textId="77777777" w:rsidR="005D07A6" w:rsidRDefault="00F42774">
            <w:pPr>
              <w:pStyle w:val="TA1"/>
              <w:jc w:val="center"/>
              <w:rPr>
                <w:rFonts w:eastAsiaTheme="minorEastAsia"/>
              </w:rPr>
            </w:pPr>
            <w:r>
              <w:rPr>
                <w:b/>
                <w:bCs/>
              </w:rPr>
              <w:t>Q</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3CFB9A5" w14:textId="77777777" w:rsidR="005D07A6" w:rsidRDefault="00F42774">
            <w:pPr>
              <w:pStyle w:val="TA1"/>
              <w:jc w:val="center"/>
              <w:rPr>
                <w:rFonts w:eastAsiaTheme="minorEastAsia"/>
              </w:rPr>
            </w:pPr>
            <w:r>
              <w:rPr>
                <w:b/>
                <w:bCs/>
              </w:rPr>
              <w:t>CU</w:t>
            </w:r>
          </w:p>
        </w:tc>
        <w:tc>
          <w:tcPr>
            <w:tcW w:w="5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3119887" w14:textId="77777777" w:rsidR="005D07A6" w:rsidRDefault="00F42774">
            <w:pPr>
              <w:pStyle w:val="TA1"/>
              <w:jc w:val="center"/>
              <w:rPr>
                <w:rFonts w:eastAsiaTheme="minorEastAsia"/>
              </w:rPr>
            </w:pPr>
            <w:r>
              <w:rPr>
                <w:b/>
                <w:bCs/>
              </w:rPr>
              <w:t>M</w:t>
            </w:r>
          </w:p>
        </w:tc>
      </w:tr>
      <w:tr w:rsidR="005D07A6" w14:paraId="76C822DD" w14:textId="77777777">
        <w:tc>
          <w:tcPr>
            <w:tcW w:w="10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C1C7851" w14:textId="77777777" w:rsidR="005D07A6" w:rsidRDefault="00F42774">
            <w:pPr>
              <w:pStyle w:val="TA1"/>
              <w:rPr>
                <w:rFonts w:eastAsiaTheme="minorEastAsia"/>
              </w:rPr>
            </w:pPr>
            <w:r>
              <w:t>Composant A</w:t>
            </w:r>
          </w:p>
        </w:tc>
        <w:tc>
          <w:tcPr>
            <w:tcW w:w="4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B40A4EC" w14:textId="77777777" w:rsidR="005D07A6" w:rsidRDefault="00F42774">
            <w:pPr>
              <w:pStyle w:val="TA1"/>
              <w:jc w:val="center"/>
              <w:rPr>
                <w:rFonts w:eastAsiaTheme="minorEastAsia"/>
              </w:rPr>
            </w:pPr>
            <w:r>
              <w:t>0,1</w:t>
            </w:r>
          </w:p>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A03E859" w14:textId="77777777" w:rsidR="005D07A6" w:rsidRDefault="00F42774">
            <w:pPr>
              <w:pStyle w:val="TA1"/>
              <w:jc w:val="center"/>
              <w:rPr>
                <w:rFonts w:eastAsiaTheme="minorEastAsia"/>
              </w:rPr>
            </w:pPr>
            <w:r>
              <w:t>40</w:t>
            </w:r>
          </w:p>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2F5667C" w14:textId="77777777" w:rsidR="005D07A6" w:rsidRDefault="00F42774">
            <w:pPr>
              <w:pStyle w:val="TA1"/>
              <w:jc w:val="center"/>
              <w:rPr>
                <w:rFonts w:eastAsiaTheme="minorEastAsia"/>
              </w:rPr>
            </w:pPr>
            <w:r>
              <w:t>4</w:t>
            </w:r>
          </w:p>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B69A02D" w14:textId="77777777" w:rsidR="005D07A6" w:rsidRDefault="00F42774">
            <w:pPr>
              <w:pStyle w:val="TA1"/>
              <w:jc w:val="center"/>
              <w:rPr>
                <w:rFonts w:eastAsiaTheme="minorEastAsia"/>
              </w:rPr>
            </w:pPr>
            <w:r>
              <w:t>0,2</w:t>
            </w:r>
          </w:p>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E32C560" w14:textId="77777777" w:rsidR="005D07A6" w:rsidRDefault="00F42774">
            <w:pPr>
              <w:pStyle w:val="TA1"/>
              <w:jc w:val="center"/>
              <w:rPr>
                <w:rFonts w:eastAsiaTheme="minorEastAsia"/>
              </w:rPr>
            </w:pPr>
            <w:r>
              <w:t>40</w:t>
            </w:r>
          </w:p>
        </w:tc>
        <w:tc>
          <w:tcPr>
            <w:tcW w:w="61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CCAC458" w14:textId="77777777" w:rsidR="005D07A6" w:rsidRDefault="00F42774">
            <w:pPr>
              <w:pStyle w:val="TA1"/>
              <w:jc w:val="center"/>
              <w:rPr>
                <w:rFonts w:eastAsiaTheme="minorEastAsia"/>
              </w:rPr>
            </w:pPr>
            <w:r>
              <w:t>8</w:t>
            </w:r>
          </w:p>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9DB6752" w14:textId="77777777" w:rsidR="005D07A6" w:rsidRDefault="00F42774">
            <w:pPr>
              <w:pStyle w:val="TA1"/>
              <w:jc w:val="center"/>
              <w:rPr>
                <w:rFonts w:eastAsiaTheme="minorEastAsia"/>
              </w:rPr>
            </w:pPr>
            <w:r>
              <w:t>0,1</w:t>
            </w:r>
          </w:p>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117784D" w14:textId="77777777" w:rsidR="005D07A6" w:rsidRDefault="00F42774">
            <w:pPr>
              <w:pStyle w:val="TA1"/>
              <w:jc w:val="center"/>
              <w:rPr>
                <w:rFonts w:eastAsiaTheme="minorEastAsia"/>
              </w:rPr>
            </w:pPr>
            <w:r>
              <w:t>40</w:t>
            </w:r>
          </w:p>
        </w:tc>
        <w:tc>
          <w:tcPr>
            <w:tcW w:w="57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C6EEEB2" w14:textId="77777777" w:rsidR="005D07A6" w:rsidRDefault="00F42774">
            <w:pPr>
              <w:pStyle w:val="TA1"/>
              <w:jc w:val="center"/>
              <w:rPr>
                <w:rFonts w:eastAsiaTheme="minorEastAsia"/>
              </w:rPr>
            </w:pPr>
            <w:r>
              <w:t>4</w:t>
            </w:r>
          </w:p>
        </w:tc>
      </w:tr>
      <w:tr w:rsidR="005D07A6" w14:paraId="189882B8" w14:textId="77777777">
        <w:tc>
          <w:tcPr>
            <w:tcW w:w="10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6EE7064" w14:textId="77777777" w:rsidR="005D07A6" w:rsidRDefault="00F42774">
            <w:pPr>
              <w:pStyle w:val="TA1"/>
              <w:rPr>
                <w:rFonts w:eastAsiaTheme="minorEastAsia"/>
              </w:rPr>
            </w:pPr>
            <w:r>
              <w:t>Composant B</w:t>
            </w:r>
          </w:p>
        </w:tc>
        <w:tc>
          <w:tcPr>
            <w:tcW w:w="405" w:type="dxa"/>
            <w:tcBorders>
              <w:top w:val="nil"/>
              <w:left w:val="single" w:sz="4" w:space="0" w:color="auto"/>
              <w:bottom w:val="nil"/>
              <w:right w:val="single" w:sz="4" w:space="0" w:color="auto"/>
            </w:tcBorders>
            <w:tcMar>
              <w:top w:w="0" w:type="dxa"/>
              <w:left w:w="2" w:type="dxa"/>
              <w:bottom w:w="0" w:type="dxa"/>
              <w:right w:w="2" w:type="dxa"/>
            </w:tcMar>
            <w:hideMark/>
          </w:tcPr>
          <w:p w14:paraId="345AB320" w14:textId="77777777" w:rsidR="005D07A6" w:rsidRDefault="005D07A6"/>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1696A3C6" w14:textId="77777777" w:rsidR="005D07A6" w:rsidRDefault="00F42774">
            <w:pPr>
              <w:pStyle w:val="TA1"/>
              <w:jc w:val="center"/>
              <w:rPr>
                <w:rFonts w:eastAsiaTheme="minorEastAsia"/>
              </w:rPr>
            </w:pPr>
            <w:r>
              <w:t>80</w:t>
            </w:r>
          </w:p>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2C15B1E8" w14:textId="77777777" w:rsidR="005D07A6" w:rsidRDefault="00F42774">
            <w:pPr>
              <w:pStyle w:val="TA1"/>
              <w:jc w:val="center"/>
              <w:rPr>
                <w:rFonts w:eastAsiaTheme="minorEastAsia"/>
              </w:rPr>
            </w:pPr>
            <w:r>
              <w:t>0</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5756D5FD" w14:textId="77777777" w:rsidR="005D07A6" w:rsidRDefault="005D07A6"/>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395C3A67" w14:textId="77777777" w:rsidR="005D07A6" w:rsidRDefault="00F42774">
            <w:pPr>
              <w:pStyle w:val="TA1"/>
              <w:jc w:val="center"/>
              <w:rPr>
                <w:rFonts w:eastAsiaTheme="minorEastAsia"/>
              </w:rPr>
            </w:pPr>
            <w:r>
              <w:t>80</w:t>
            </w:r>
          </w:p>
        </w:tc>
        <w:tc>
          <w:tcPr>
            <w:tcW w:w="615" w:type="dxa"/>
            <w:tcBorders>
              <w:top w:val="nil"/>
              <w:left w:val="single" w:sz="4" w:space="0" w:color="auto"/>
              <w:bottom w:val="nil"/>
              <w:right w:val="single" w:sz="4" w:space="0" w:color="auto"/>
            </w:tcBorders>
            <w:tcMar>
              <w:top w:w="0" w:type="dxa"/>
              <w:left w:w="2" w:type="dxa"/>
              <w:bottom w:w="0" w:type="dxa"/>
              <w:right w:w="2" w:type="dxa"/>
            </w:tcMar>
            <w:hideMark/>
          </w:tcPr>
          <w:p w14:paraId="2239660C" w14:textId="77777777" w:rsidR="005D07A6" w:rsidRDefault="00F42774">
            <w:pPr>
              <w:pStyle w:val="TA1"/>
              <w:jc w:val="center"/>
              <w:rPr>
                <w:rFonts w:eastAsiaTheme="minorEastAsia"/>
              </w:rPr>
            </w:pPr>
            <w:r>
              <w:t>0</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0F0CB207" w14:textId="77777777" w:rsidR="005D07A6" w:rsidRDefault="00F42774">
            <w:pPr>
              <w:pStyle w:val="TA1"/>
              <w:jc w:val="center"/>
              <w:rPr>
                <w:rFonts w:eastAsiaTheme="minorEastAsia"/>
              </w:rPr>
            </w:pPr>
            <w:r>
              <w:t>0,3</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75167DF2" w14:textId="77777777" w:rsidR="005D07A6" w:rsidRDefault="00F42774">
            <w:pPr>
              <w:pStyle w:val="TA1"/>
              <w:jc w:val="center"/>
              <w:rPr>
                <w:rFonts w:eastAsiaTheme="minorEastAsia"/>
              </w:rPr>
            </w:pPr>
            <w:r>
              <w:t>80</w:t>
            </w:r>
          </w:p>
        </w:tc>
        <w:tc>
          <w:tcPr>
            <w:tcW w:w="570" w:type="dxa"/>
            <w:tcBorders>
              <w:top w:val="nil"/>
              <w:left w:val="single" w:sz="4" w:space="0" w:color="auto"/>
              <w:bottom w:val="nil"/>
              <w:right w:val="single" w:sz="4" w:space="0" w:color="auto"/>
            </w:tcBorders>
            <w:tcMar>
              <w:top w:w="0" w:type="dxa"/>
              <w:left w:w="2" w:type="dxa"/>
              <w:bottom w:w="0" w:type="dxa"/>
              <w:right w:w="2" w:type="dxa"/>
            </w:tcMar>
            <w:hideMark/>
          </w:tcPr>
          <w:p w14:paraId="7AEAB116" w14:textId="77777777" w:rsidR="005D07A6" w:rsidRDefault="00F42774">
            <w:pPr>
              <w:pStyle w:val="TA1"/>
              <w:jc w:val="center"/>
              <w:rPr>
                <w:rFonts w:eastAsiaTheme="minorEastAsia"/>
              </w:rPr>
            </w:pPr>
            <w:r>
              <w:t>24</w:t>
            </w:r>
          </w:p>
        </w:tc>
      </w:tr>
      <w:tr w:rsidR="005D07A6" w14:paraId="1BA59B8E" w14:textId="77777777">
        <w:tc>
          <w:tcPr>
            <w:tcW w:w="10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DDB8BB6" w14:textId="77777777" w:rsidR="005D07A6" w:rsidRDefault="00F42774">
            <w:pPr>
              <w:pStyle w:val="TA1"/>
              <w:rPr>
                <w:rFonts w:eastAsiaTheme="minorEastAsia"/>
              </w:rPr>
            </w:pPr>
            <w:r>
              <w:t>Composant C</w:t>
            </w:r>
          </w:p>
        </w:tc>
        <w:tc>
          <w:tcPr>
            <w:tcW w:w="405" w:type="dxa"/>
            <w:tcBorders>
              <w:top w:val="nil"/>
              <w:left w:val="single" w:sz="4" w:space="0" w:color="auto"/>
              <w:bottom w:val="nil"/>
              <w:right w:val="single" w:sz="4" w:space="0" w:color="auto"/>
            </w:tcBorders>
            <w:tcMar>
              <w:top w:w="0" w:type="dxa"/>
              <w:left w:w="2" w:type="dxa"/>
              <w:bottom w:w="0" w:type="dxa"/>
              <w:right w:w="2" w:type="dxa"/>
            </w:tcMar>
            <w:hideMark/>
          </w:tcPr>
          <w:p w14:paraId="5A8B87CD" w14:textId="77777777" w:rsidR="005D07A6" w:rsidRDefault="005D07A6"/>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35E5B6A3" w14:textId="77777777" w:rsidR="005D07A6" w:rsidRDefault="00F42774">
            <w:pPr>
              <w:pStyle w:val="TA1"/>
              <w:jc w:val="center"/>
              <w:rPr>
                <w:rFonts w:eastAsiaTheme="minorEastAsia"/>
              </w:rPr>
            </w:pPr>
            <w:r>
              <w:t>100</w:t>
            </w:r>
          </w:p>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489C6C06" w14:textId="77777777" w:rsidR="005D07A6" w:rsidRDefault="00F42774">
            <w:pPr>
              <w:pStyle w:val="TA1"/>
              <w:jc w:val="center"/>
              <w:rPr>
                <w:rFonts w:eastAsiaTheme="minorEastAsia"/>
              </w:rPr>
            </w:pPr>
            <w:r>
              <w:t>0</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33E8EFBB" w14:textId="77777777" w:rsidR="005D07A6" w:rsidRDefault="00F42774">
            <w:pPr>
              <w:pStyle w:val="TA1"/>
              <w:jc w:val="center"/>
              <w:rPr>
                <w:rFonts w:eastAsiaTheme="minorEastAsia"/>
              </w:rPr>
            </w:pPr>
            <w:r>
              <w:t>0,5</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0A41B2B4" w14:textId="77777777" w:rsidR="005D07A6" w:rsidRDefault="00F42774">
            <w:pPr>
              <w:pStyle w:val="TA1"/>
              <w:jc w:val="center"/>
              <w:rPr>
                <w:rFonts w:eastAsiaTheme="minorEastAsia"/>
              </w:rPr>
            </w:pPr>
            <w:r>
              <w:t>100</w:t>
            </w:r>
          </w:p>
        </w:tc>
        <w:tc>
          <w:tcPr>
            <w:tcW w:w="615" w:type="dxa"/>
            <w:tcBorders>
              <w:top w:val="nil"/>
              <w:left w:val="single" w:sz="4" w:space="0" w:color="auto"/>
              <w:bottom w:val="nil"/>
              <w:right w:val="single" w:sz="4" w:space="0" w:color="auto"/>
            </w:tcBorders>
            <w:tcMar>
              <w:top w:w="0" w:type="dxa"/>
              <w:left w:w="2" w:type="dxa"/>
              <w:bottom w:w="0" w:type="dxa"/>
              <w:right w:w="2" w:type="dxa"/>
            </w:tcMar>
            <w:hideMark/>
          </w:tcPr>
          <w:p w14:paraId="157147BC" w14:textId="77777777" w:rsidR="005D07A6" w:rsidRDefault="00F42774">
            <w:pPr>
              <w:pStyle w:val="TA1"/>
              <w:jc w:val="center"/>
              <w:rPr>
                <w:rFonts w:eastAsiaTheme="minorEastAsia"/>
              </w:rPr>
            </w:pPr>
            <w:r>
              <w:t>50</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35D9AE72" w14:textId="77777777" w:rsidR="005D07A6" w:rsidRDefault="00F42774">
            <w:pPr>
              <w:pStyle w:val="TA1"/>
              <w:jc w:val="center"/>
              <w:rPr>
                <w:rFonts w:eastAsiaTheme="minorEastAsia"/>
              </w:rPr>
            </w:pPr>
            <w:r>
              <w:t>0,6</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7B061943" w14:textId="77777777" w:rsidR="005D07A6" w:rsidRDefault="00F42774">
            <w:pPr>
              <w:pStyle w:val="TA1"/>
              <w:jc w:val="center"/>
              <w:rPr>
                <w:rFonts w:eastAsiaTheme="minorEastAsia"/>
              </w:rPr>
            </w:pPr>
            <w:r>
              <w:t>100</w:t>
            </w:r>
          </w:p>
        </w:tc>
        <w:tc>
          <w:tcPr>
            <w:tcW w:w="570" w:type="dxa"/>
            <w:tcBorders>
              <w:top w:val="nil"/>
              <w:left w:val="single" w:sz="4" w:space="0" w:color="auto"/>
              <w:bottom w:val="nil"/>
              <w:right w:val="single" w:sz="4" w:space="0" w:color="auto"/>
            </w:tcBorders>
            <w:tcMar>
              <w:top w:w="0" w:type="dxa"/>
              <w:left w:w="2" w:type="dxa"/>
              <w:bottom w:w="0" w:type="dxa"/>
              <w:right w:w="2" w:type="dxa"/>
            </w:tcMar>
            <w:hideMark/>
          </w:tcPr>
          <w:p w14:paraId="340414FA" w14:textId="77777777" w:rsidR="005D07A6" w:rsidRDefault="00F42774">
            <w:pPr>
              <w:pStyle w:val="TA1"/>
              <w:jc w:val="center"/>
              <w:rPr>
                <w:rFonts w:eastAsiaTheme="minorEastAsia"/>
              </w:rPr>
            </w:pPr>
            <w:r>
              <w:t>60</w:t>
            </w:r>
          </w:p>
        </w:tc>
      </w:tr>
      <w:tr w:rsidR="005D07A6" w14:paraId="131609DB" w14:textId="77777777">
        <w:tc>
          <w:tcPr>
            <w:tcW w:w="10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B4D5D2B" w14:textId="77777777" w:rsidR="005D07A6" w:rsidRDefault="00F42774">
            <w:pPr>
              <w:pStyle w:val="TA1"/>
              <w:rPr>
                <w:rFonts w:eastAsiaTheme="minorEastAsia"/>
              </w:rPr>
            </w:pPr>
            <w:r>
              <w:t>Composant D</w:t>
            </w:r>
          </w:p>
        </w:tc>
        <w:tc>
          <w:tcPr>
            <w:tcW w:w="405" w:type="dxa"/>
            <w:tcBorders>
              <w:top w:val="nil"/>
              <w:left w:val="single" w:sz="4" w:space="0" w:color="auto"/>
              <w:bottom w:val="nil"/>
              <w:right w:val="single" w:sz="4" w:space="0" w:color="auto"/>
            </w:tcBorders>
            <w:tcMar>
              <w:top w:w="0" w:type="dxa"/>
              <w:left w:w="2" w:type="dxa"/>
              <w:bottom w:w="0" w:type="dxa"/>
              <w:right w:w="2" w:type="dxa"/>
            </w:tcMar>
            <w:hideMark/>
          </w:tcPr>
          <w:p w14:paraId="21FC1882" w14:textId="77777777" w:rsidR="005D07A6" w:rsidRDefault="00F42774">
            <w:pPr>
              <w:pStyle w:val="TA1"/>
              <w:jc w:val="center"/>
              <w:rPr>
                <w:rFonts w:eastAsiaTheme="minorEastAsia"/>
              </w:rPr>
            </w:pPr>
            <w:r>
              <w:t>0,2</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5F44FD8E" w14:textId="77777777" w:rsidR="005D07A6" w:rsidRDefault="00F42774">
            <w:pPr>
              <w:pStyle w:val="TA1"/>
              <w:jc w:val="center"/>
              <w:rPr>
                <w:rFonts w:eastAsiaTheme="minorEastAsia"/>
              </w:rPr>
            </w:pPr>
            <w:r>
              <w:t>90</w:t>
            </w:r>
          </w:p>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74C0119D" w14:textId="77777777" w:rsidR="005D07A6" w:rsidRDefault="00F42774">
            <w:pPr>
              <w:pStyle w:val="TA1"/>
              <w:jc w:val="center"/>
              <w:rPr>
                <w:rFonts w:eastAsiaTheme="minorEastAsia"/>
              </w:rPr>
            </w:pPr>
            <w:r>
              <w:t>18</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0770BCDC" w14:textId="77777777" w:rsidR="005D07A6" w:rsidRDefault="005D07A6"/>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0B09EB1D" w14:textId="77777777" w:rsidR="005D07A6" w:rsidRDefault="00F42774">
            <w:pPr>
              <w:pStyle w:val="TA1"/>
              <w:jc w:val="center"/>
              <w:rPr>
                <w:rFonts w:eastAsiaTheme="minorEastAsia"/>
              </w:rPr>
            </w:pPr>
            <w:r>
              <w:t>90</w:t>
            </w:r>
          </w:p>
        </w:tc>
        <w:tc>
          <w:tcPr>
            <w:tcW w:w="615" w:type="dxa"/>
            <w:tcBorders>
              <w:top w:val="nil"/>
              <w:left w:val="single" w:sz="4" w:space="0" w:color="auto"/>
              <w:bottom w:val="nil"/>
              <w:right w:val="single" w:sz="4" w:space="0" w:color="auto"/>
            </w:tcBorders>
            <w:tcMar>
              <w:top w:w="0" w:type="dxa"/>
              <w:left w:w="2" w:type="dxa"/>
              <w:bottom w:w="0" w:type="dxa"/>
              <w:right w:w="2" w:type="dxa"/>
            </w:tcMar>
            <w:hideMark/>
          </w:tcPr>
          <w:p w14:paraId="168D6AF0" w14:textId="77777777" w:rsidR="005D07A6" w:rsidRDefault="00F42774">
            <w:pPr>
              <w:pStyle w:val="TA1"/>
              <w:jc w:val="center"/>
              <w:rPr>
                <w:rFonts w:eastAsiaTheme="minorEastAsia"/>
              </w:rPr>
            </w:pPr>
            <w:r>
              <w:t>0</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4A4C43E4" w14:textId="77777777" w:rsidR="005D07A6" w:rsidRDefault="00F42774">
            <w:pPr>
              <w:pStyle w:val="TA1"/>
              <w:jc w:val="center"/>
              <w:rPr>
                <w:rFonts w:eastAsiaTheme="minorEastAsia"/>
              </w:rPr>
            </w:pPr>
            <w:r>
              <w:t>0,3</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6AD55F56" w14:textId="77777777" w:rsidR="005D07A6" w:rsidRDefault="00F42774">
            <w:pPr>
              <w:pStyle w:val="TA1"/>
              <w:jc w:val="center"/>
              <w:rPr>
                <w:rFonts w:eastAsiaTheme="minorEastAsia"/>
              </w:rPr>
            </w:pPr>
            <w:r>
              <w:t>90</w:t>
            </w:r>
          </w:p>
        </w:tc>
        <w:tc>
          <w:tcPr>
            <w:tcW w:w="570" w:type="dxa"/>
            <w:tcBorders>
              <w:top w:val="nil"/>
              <w:left w:val="single" w:sz="4" w:space="0" w:color="auto"/>
              <w:bottom w:val="nil"/>
              <w:right w:val="single" w:sz="4" w:space="0" w:color="auto"/>
            </w:tcBorders>
            <w:tcMar>
              <w:top w:w="0" w:type="dxa"/>
              <w:left w:w="2" w:type="dxa"/>
              <w:bottom w:w="0" w:type="dxa"/>
              <w:right w:w="2" w:type="dxa"/>
            </w:tcMar>
            <w:hideMark/>
          </w:tcPr>
          <w:p w14:paraId="16B75A75" w14:textId="77777777" w:rsidR="005D07A6" w:rsidRDefault="00F42774">
            <w:pPr>
              <w:pStyle w:val="TA1"/>
              <w:jc w:val="center"/>
              <w:rPr>
                <w:rFonts w:eastAsiaTheme="minorEastAsia"/>
              </w:rPr>
            </w:pPr>
            <w:r>
              <w:t>27</w:t>
            </w:r>
          </w:p>
        </w:tc>
      </w:tr>
      <w:tr w:rsidR="005D07A6" w14:paraId="6F00435A" w14:textId="77777777">
        <w:tc>
          <w:tcPr>
            <w:tcW w:w="10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F84D7BF" w14:textId="77777777" w:rsidR="005D07A6" w:rsidRDefault="00F42774">
            <w:pPr>
              <w:pStyle w:val="TA1"/>
              <w:rPr>
                <w:rFonts w:eastAsiaTheme="minorEastAsia"/>
              </w:rPr>
            </w:pPr>
            <w:r>
              <w:t>Composant E</w:t>
            </w:r>
          </w:p>
        </w:tc>
        <w:tc>
          <w:tcPr>
            <w:tcW w:w="405" w:type="dxa"/>
            <w:tcBorders>
              <w:top w:val="nil"/>
              <w:left w:val="single" w:sz="4" w:space="0" w:color="auto"/>
              <w:bottom w:val="nil"/>
              <w:right w:val="single" w:sz="4" w:space="0" w:color="auto"/>
            </w:tcBorders>
            <w:tcMar>
              <w:top w:w="0" w:type="dxa"/>
              <w:left w:w="2" w:type="dxa"/>
              <w:bottom w:w="0" w:type="dxa"/>
              <w:right w:w="2" w:type="dxa"/>
            </w:tcMar>
            <w:hideMark/>
          </w:tcPr>
          <w:p w14:paraId="36559547" w14:textId="77777777" w:rsidR="005D07A6" w:rsidRDefault="00F42774">
            <w:pPr>
              <w:pStyle w:val="TA1"/>
              <w:jc w:val="center"/>
              <w:rPr>
                <w:rFonts w:eastAsiaTheme="minorEastAsia"/>
              </w:rPr>
            </w:pPr>
            <w:r>
              <w:t>0,4</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0C4C84EF" w14:textId="77777777" w:rsidR="005D07A6" w:rsidRDefault="00F42774">
            <w:pPr>
              <w:pStyle w:val="TA1"/>
              <w:jc w:val="center"/>
              <w:rPr>
                <w:rFonts w:eastAsiaTheme="minorEastAsia"/>
              </w:rPr>
            </w:pPr>
            <w:r>
              <w:t>10</w:t>
            </w:r>
          </w:p>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6E948AE1" w14:textId="77777777" w:rsidR="005D07A6" w:rsidRDefault="00F42774">
            <w:pPr>
              <w:pStyle w:val="TA1"/>
              <w:jc w:val="center"/>
              <w:rPr>
                <w:rFonts w:eastAsiaTheme="minorEastAsia"/>
              </w:rPr>
            </w:pPr>
            <w:r>
              <w:t>4</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53A0D392" w14:textId="77777777" w:rsidR="005D07A6" w:rsidRDefault="00F42774">
            <w:pPr>
              <w:pStyle w:val="TA1"/>
              <w:jc w:val="center"/>
              <w:rPr>
                <w:rFonts w:eastAsiaTheme="minorEastAsia"/>
              </w:rPr>
            </w:pPr>
            <w:r>
              <w:t>0,6</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5BE16F5D" w14:textId="77777777" w:rsidR="005D07A6" w:rsidRDefault="00F42774">
            <w:pPr>
              <w:pStyle w:val="TA1"/>
              <w:jc w:val="center"/>
              <w:rPr>
                <w:rFonts w:eastAsiaTheme="minorEastAsia"/>
              </w:rPr>
            </w:pPr>
            <w:r>
              <w:t>10</w:t>
            </w:r>
          </w:p>
        </w:tc>
        <w:tc>
          <w:tcPr>
            <w:tcW w:w="615" w:type="dxa"/>
            <w:tcBorders>
              <w:top w:val="nil"/>
              <w:left w:val="single" w:sz="4" w:space="0" w:color="auto"/>
              <w:bottom w:val="nil"/>
              <w:right w:val="single" w:sz="4" w:space="0" w:color="auto"/>
            </w:tcBorders>
            <w:tcMar>
              <w:top w:w="0" w:type="dxa"/>
              <w:left w:w="2" w:type="dxa"/>
              <w:bottom w:w="0" w:type="dxa"/>
              <w:right w:w="2" w:type="dxa"/>
            </w:tcMar>
            <w:hideMark/>
          </w:tcPr>
          <w:p w14:paraId="727A2F21" w14:textId="77777777" w:rsidR="005D07A6" w:rsidRDefault="00F42774">
            <w:pPr>
              <w:pStyle w:val="TA1"/>
              <w:jc w:val="center"/>
              <w:rPr>
                <w:rFonts w:eastAsiaTheme="minorEastAsia"/>
              </w:rPr>
            </w:pPr>
            <w:r>
              <w:t>6</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546EF7DA" w14:textId="77777777" w:rsidR="005D07A6" w:rsidRDefault="005D07A6"/>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40275191" w14:textId="77777777" w:rsidR="005D07A6" w:rsidRDefault="00F42774">
            <w:pPr>
              <w:pStyle w:val="TA1"/>
              <w:jc w:val="center"/>
              <w:rPr>
                <w:rFonts w:eastAsiaTheme="minorEastAsia"/>
              </w:rPr>
            </w:pPr>
            <w:r>
              <w:t>10</w:t>
            </w:r>
          </w:p>
        </w:tc>
        <w:tc>
          <w:tcPr>
            <w:tcW w:w="570" w:type="dxa"/>
            <w:tcBorders>
              <w:top w:val="nil"/>
              <w:left w:val="single" w:sz="4" w:space="0" w:color="auto"/>
              <w:bottom w:val="nil"/>
              <w:right w:val="single" w:sz="4" w:space="0" w:color="auto"/>
            </w:tcBorders>
            <w:tcMar>
              <w:top w:w="0" w:type="dxa"/>
              <w:left w:w="2" w:type="dxa"/>
              <w:bottom w:w="0" w:type="dxa"/>
              <w:right w:w="2" w:type="dxa"/>
            </w:tcMar>
            <w:hideMark/>
          </w:tcPr>
          <w:p w14:paraId="3F710CAE" w14:textId="77777777" w:rsidR="005D07A6" w:rsidRDefault="00F42774">
            <w:pPr>
              <w:pStyle w:val="TA1"/>
              <w:jc w:val="center"/>
              <w:rPr>
                <w:rFonts w:eastAsiaTheme="minorEastAsia"/>
              </w:rPr>
            </w:pPr>
            <w:r>
              <w:t>0</w:t>
            </w:r>
          </w:p>
        </w:tc>
      </w:tr>
      <w:tr w:rsidR="005D07A6" w14:paraId="2F479785" w14:textId="77777777">
        <w:tc>
          <w:tcPr>
            <w:tcW w:w="10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824D338" w14:textId="77777777" w:rsidR="005D07A6" w:rsidRDefault="00F42774">
            <w:pPr>
              <w:pStyle w:val="TA1"/>
              <w:rPr>
                <w:rFonts w:eastAsiaTheme="minorEastAsia"/>
              </w:rPr>
            </w:pPr>
            <w:r>
              <w:t>Composant F</w:t>
            </w:r>
          </w:p>
        </w:tc>
        <w:tc>
          <w:tcPr>
            <w:tcW w:w="405" w:type="dxa"/>
            <w:tcBorders>
              <w:top w:val="nil"/>
              <w:left w:val="single" w:sz="4" w:space="0" w:color="auto"/>
              <w:bottom w:val="nil"/>
              <w:right w:val="single" w:sz="4" w:space="0" w:color="auto"/>
            </w:tcBorders>
            <w:tcMar>
              <w:top w:w="0" w:type="dxa"/>
              <w:left w:w="2" w:type="dxa"/>
              <w:bottom w:w="0" w:type="dxa"/>
              <w:right w:w="2" w:type="dxa"/>
            </w:tcMar>
            <w:hideMark/>
          </w:tcPr>
          <w:p w14:paraId="37C8118B" w14:textId="77777777" w:rsidR="005D07A6" w:rsidRDefault="00F42774">
            <w:pPr>
              <w:pStyle w:val="TA1"/>
              <w:jc w:val="center"/>
              <w:rPr>
                <w:rFonts w:eastAsiaTheme="minorEastAsia"/>
              </w:rPr>
            </w:pPr>
            <w:r>
              <w:t>0,5</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1155C143" w14:textId="77777777" w:rsidR="005D07A6" w:rsidRDefault="00F42774">
            <w:pPr>
              <w:pStyle w:val="TA1"/>
              <w:jc w:val="center"/>
              <w:rPr>
                <w:rFonts w:eastAsiaTheme="minorEastAsia"/>
              </w:rPr>
            </w:pPr>
            <w:r>
              <w:t>20</w:t>
            </w:r>
          </w:p>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21E3F0EC" w14:textId="77777777" w:rsidR="005D07A6" w:rsidRDefault="00F42774">
            <w:pPr>
              <w:pStyle w:val="TA1"/>
              <w:jc w:val="center"/>
              <w:rPr>
                <w:rFonts w:eastAsiaTheme="minorEastAsia"/>
              </w:rPr>
            </w:pPr>
            <w:r>
              <w:t>10</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409E4F72" w14:textId="77777777" w:rsidR="005D07A6" w:rsidRDefault="005D07A6"/>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145AADB8" w14:textId="77777777" w:rsidR="005D07A6" w:rsidRDefault="00F42774">
            <w:pPr>
              <w:pStyle w:val="TA1"/>
              <w:jc w:val="center"/>
              <w:rPr>
                <w:rFonts w:eastAsiaTheme="minorEastAsia"/>
              </w:rPr>
            </w:pPr>
            <w:r>
              <w:t>20</w:t>
            </w:r>
          </w:p>
        </w:tc>
        <w:tc>
          <w:tcPr>
            <w:tcW w:w="615" w:type="dxa"/>
            <w:tcBorders>
              <w:top w:val="nil"/>
              <w:left w:val="single" w:sz="4" w:space="0" w:color="auto"/>
              <w:bottom w:val="nil"/>
              <w:right w:val="single" w:sz="4" w:space="0" w:color="auto"/>
            </w:tcBorders>
            <w:tcMar>
              <w:top w:w="0" w:type="dxa"/>
              <w:left w:w="2" w:type="dxa"/>
              <w:bottom w:w="0" w:type="dxa"/>
              <w:right w:w="2" w:type="dxa"/>
            </w:tcMar>
            <w:hideMark/>
          </w:tcPr>
          <w:p w14:paraId="75C7357F" w14:textId="77777777" w:rsidR="005D07A6" w:rsidRDefault="00F42774">
            <w:pPr>
              <w:pStyle w:val="TA1"/>
              <w:jc w:val="center"/>
              <w:rPr>
                <w:rFonts w:eastAsiaTheme="minorEastAsia"/>
              </w:rPr>
            </w:pPr>
            <w:r>
              <w:t>0</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765C382D" w14:textId="77777777" w:rsidR="005D07A6" w:rsidRDefault="005D07A6"/>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4AE41E0B" w14:textId="77777777" w:rsidR="005D07A6" w:rsidRDefault="00F42774">
            <w:pPr>
              <w:pStyle w:val="TA1"/>
              <w:jc w:val="center"/>
              <w:rPr>
                <w:rFonts w:eastAsiaTheme="minorEastAsia"/>
              </w:rPr>
            </w:pPr>
            <w:r>
              <w:t>20</w:t>
            </w:r>
          </w:p>
        </w:tc>
        <w:tc>
          <w:tcPr>
            <w:tcW w:w="570" w:type="dxa"/>
            <w:tcBorders>
              <w:top w:val="nil"/>
              <w:left w:val="single" w:sz="4" w:space="0" w:color="auto"/>
              <w:bottom w:val="nil"/>
              <w:right w:val="single" w:sz="4" w:space="0" w:color="auto"/>
            </w:tcBorders>
            <w:tcMar>
              <w:top w:w="0" w:type="dxa"/>
              <w:left w:w="2" w:type="dxa"/>
              <w:bottom w:w="0" w:type="dxa"/>
              <w:right w:w="2" w:type="dxa"/>
            </w:tcMar>
            <w:hideMark/>
          </w:tcPr>
          <w:p w14:paraId="2C61640A" w14:textId="77777777" w:rsidR="005D07A6" w:rsidRDefault="00F42774">
            <w:pPr>
              <w:pStyle w:val="TA1"/>
              <w:jc w:val="center"/>
              <w:rPr>
                <w:rFonts w:eastAsiaTheme="minorEastAsia"/>
              </w:rPr>
            </w:pPr>
            <w:r>
              <w:t>0</w:t>
            </w:r>
          </w:p>
        </w:tc>
      </w:tr>
      <w:tr w:rsidR="005D07A6" w14:paraId="0179ABCE" w14:textId="77777777">
        <w:tc>
          <w:tcPr>
            <w:tcW w:w="10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88C9285" w14:textId="77777777" w:rsidR="005D07A6" w:rsidRDefault="00F42774">
            <w:pPr>
              <w:pStyle w:val="TA1"/>
              <w:rPr>
                <w:rFonts w:eastAsiaTheme="minorEastAsia"/>
              </w:rPr>
            </w:pPr>
            <w:r>
              <w:t>Emballages</w:t>
            </w:r>
          </w:p>
        </w:tc>
        <w:tc>
          <w:tcPr>
            <w:tcW w:w="4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3DDE3E9" w14:textId="77777777" w:rsidR="005D07A6" w:rsidRDefault="00F42774">
            <w:pPr>
              <w:pStyle w:val="TA1"/>
              <w:jc w:val="center"/>
              <w:rPr>
                <w:rFonts w:eastAsiaTheme="minorEastAsia"/>
              </w:rPr>
            </w:pPr>
            <w:r>
              <w:t>1</w:t>
            </w:r>
          </w:p>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27D5B8E" w14:textId="77777777" w:rsidR="005D07A6" w:rsidRDefault="00F42774">
            <w:pPr>
              <w:pStyle w:val="TA1"/>
              <w:jc w:val="center"/>
              <w:rPr>
                <w:rFonts w:eastAsiaTheme="minorEastAsia"/>
              </w:rPr>
            </w:pPr>
            <w:r>
              <w:t>30</w:t>
            </w:r>
          </w:p>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E2E1E71" w14:textId="77777777" w:rsidR="005D07A6" w:rsidRDefault="00F42774">
            <w:pPr>
              <w:pStyle w:val="TA1"/>
              <w:jc w:val="center"/>
              <w:rPr>
                <w:rFonts w:eastAsiaTheme="minorEastAsia"/>
              </w:rPr>
            </w:pPr>
            <w:r>
              <w:t>30</w:t>
            </w:r>
          </w:p>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A52B650" w14:textId="77777777" w:rsidR="005D07A6" w:rsidRDefault="00F42774">
            <w:pPr>
              <w:pStyle w:val="TA1"/>
              <w:jc w:val="center"/>
              <w:rPr>
                <w:rFonts w:eastAsiaTheme="minorEastAsia"/>
              </w:rPr>
            </w:pPr>
            <w:r>
              <w:t>1</w:t>
            </w:r>
          </w:p>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228C5B3" w14:textId="77777777" w:rsidR="005D07A6" w:rsidRDefault="00F42774">
            <w:pPr>
              <w:pStyle w:val="TA1"/>
              <w:jc w:val="center"/>
              <w:rPr>
                <w:rFonts w:eastAsiaTheme="minorEastAsia"/>
              </w:rPr>
            </w:pPr>
            <w:r>
              <w:t>30</w:t>
            </w:r>
          </w:p>
        </w:tc>
        <w:tc>
          <w:tcPr>
            <w:tcW w:w="61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1352511" w14:textId="77777777" w:rsidR="005D07A6" w:rsidRDefault="00F42774">
            <w:pPr>
              <w:pStyle w:val="TA1"/>
              <w:jc w:val="center"/>
              <w:rPr>
                <w:rFonts w:eastAsiaTheme="minorEastAsia"/>
              </w:rPr>
            </w:pPr>
            <w:r>
              <w:t>30</w:t>
            </w:r>
          </w:p>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EDBCA21" w14:textId="77777777" w:rsidR="005D07A6" w:rsidRDefault="00F42774">
            <w:pPr>
              <w:pStyle w:val="TA1"/>
              <w:jc w:val="center"/>
              <w:rPr>
                <w:rFonts w:eastAsiaTheme="minorEastAsia"/>
              </w:rPr>
            </w:pPr>
            <w:r>
              <w:t>1</w:t>
            </w:r>
          </w:p>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0E61C5F" w14:textId="77777777" w:rsidR="005D07A6" w:rsidRDefault="00F42774">
            <w:pPr>
              <w:pStyle w:val="TA1"/>
              <w:jc w:val="center"/>
              <w:rPr>
                <w:rFonts w:eastAsiaTheme="minorEastAsia"/>
              </w:rPr>
            </w:pPr>
            <w:r>
              <w:t>30</w:t>
            </w:r>
          </w:p>
        </w:tc>
        <w:tc>
          <w:tcPr>
            <w:tcW w:w="57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6DB2DD1" w14:textId="77777777" w:rsidR="005D07A6" w:rsidRDefault="00F42774">
            <w:pPr>
              <w:pStyle w:val="TA1"/>
              <w:jc w:val="center"/>
              <w:rPr>
                <w:rFonts w:eastAsiaTheme="minorEastAsia"/>
              </w:rPr>
            </w:pPr>
            <w:r>
              <w:t>30</w:t>
            </w:r>
          </w:p>
        </w:tc>
      </w:tr>
      <w:tr w:rsidR="005D07A6" w14:paraId="1A64FDDF" w14:textId="77777777">
        <w:tc>
          <w:tcPr>
            <w:tcW w:w="10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3C0C17F" w14:textId="77777777" w:rsidR="005D07A6" w:rsidRDefault="00F42774">
            <w:pPr>
              <w:pStyle w:val="TA1"/>
              <w:rPr>
                <w:rFonts w:eastAsiaTheme="minorEastAsia"/>
              </w:rPr>
            </w:pPr>
            <w:r>
              <w:t>Coût direct</w:t>
            </w:r>
          </w:p>
        </w:tc>
        <w:tc>
          <w:tcPr>
            <w:tcW w:w="4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4CBFFCE" w14:textId="77777777" w:rsidR="005D07A6" w:rsidRDefault="005D07A6"/>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1213893" w14:textId="77777777" w:rsidR="005D07A6" w:rsidRDefault="005D07A6"/>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2841A1D" w14:textId="77777777" w:rsidR="005D07A6" w:rsidRDefault="00F42774">
            <w:pPr>
              <w:pStyle w:val="TA1"/>
              <w:jc w:val="right"/>
              <w:rPr>
                <w:rFonts w:eastAsiaTheme="minorEastAsia"/>
              </w:rPr>
            </w:pPr>
            <w:r>
              <w:t>66</w:t>
            </w:r>
          </w:p>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0EA76ED" w14:textId="77777777" w:rsidR="005D07A6" w:rsidRDefault="005D07A6"/>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DE166FB" w14:textId="77777777" w:rsidR="005D07A6" w:rsidRDefault="005D07A6"/>
        </w:tc>
        <w:tc>
          <w:tcPr>
            <w:tcW w:w="61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B389D99" w14:textId="77777777" w:rsidR="005D07A6" w:rsidRDefault="00F42774">
            <w:pPr>
              <w:pStyle w:val="TA1"/>
              <w:jc w:val="right"/>
              <w:rPr>
                <w:rFonts w:eastAsiaTheme="minorEastAsia"/>
              </w:rPr>
            </w:pPr>
            <w:r>
              <w:t>94</w:t>
            </w:r>
          </w:p>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602DE82" w14:textId="77777777" w:rsidR="005D07A6" w:rsidRDefault="005D07A6"/>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71EF8AA" w14:textId="77777777" w:rsidR="005D07A6" w:rsidRDefault="005D07A6"/>
        </w:tc>
        <w:tc>
          <w:tcPr>
            <w:tcW w:w="57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A3690FC" w14:textId="77777777" w:rsidR="005D07A6" w:rsidRDefault="00F42774">
            <w:pPr>
              <w:pStyle w:val="TA1"/>
              <w:jc w:val="right"/>
              <w:rPr>
                <w:rFonts w:eastAsiaTheme="minorEastAsia"/>
              </w:rPr>
            </w:pPr>
            <w:r>
              <w:t>145</w:t>
            </w:r>
          </w:p>
        </w:tc>
      </w:tr>
      <w:tr w:rsidR="005D07A6" w14:paraId="754E6655" w14:textId="77777777">
        <w:tc>
          <w:tcPr>
            <w:tcW w:w="10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F6C2443" w14:textId="77777777" w:rsidR="005D07A6" w:rsidRDefault="00F42774">
            <w:pPr>
              <w:pStyle w:val="TA1"/>
              <w:rPr>
                <w:rFonts w:eastAsiaTheme="minorEastAsia"/>
              </w:rPr>
            </w:pPr>
            <w:r>
              <w:t>C1</w:t>
            </w:r>
          </w:p>
        </w:tc>
        <w:tc>
          <w:tcPr>
            <w:tcW w:w="405" w:type="dxa"/>
            <w:tcBorders>
              <w:top w:val="nil"/>
              <w:left w:val="single" w:sz="4" w:space="0" w:color="auto"/>
              <w:bottom w:val="nil"/>
              <w:right w:val="single" w:sz="4" w:space="0" w:color="auto"/>
            </w:tcBorders>
            <w:tcMar>
              <w:top w:w="0" w:type="dxa"/>
              <w:left w:w="2" w:type="dxa"/>
              <w:bottom w:w="0" w:type="dxa"/>
              <w:right w:w="2" w:type="dxa"/>
            </w:tcMar>
            <w:hideMark/>
          </w:tcPr>
          <w:p w14:paraId="62B7E66B" w14:textId="77777777" w:rsidR="005D07A6" w:rsidRDefault="00F42774">
            <w:pPr>
              <w:pStyle w:val="TA1"/>
              <w:jc w:val="right"/>
              <w:rPr>
                <w:rFonts w:eastAsiaTheme="minorEastAsia"/>
              </w:rPr>
            </w:pPr>
            <w:r>
              <w:t>1,2</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440F8D08" w14:textId="77777777" w:rsidR="005D07A6" w:rsidRDefault="00F42774">
            <w:pPr>
              <w:pStyle w:val="TA1"/>
              <w:jc w:val="right"/>
              <w:rPr>
                <w:rFonts w:eastAsiaTheme="minorEastAsia"/>
              </w:rPr>
            </w:pPr>
            <w:r>
              <w:t>2,6526</w:t>
            </w:r>
          </w:p>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23A256E8" w14:textId="77777777" w:rsidR="005D07A6" w:rsidRDefault="00F42774">
            <w:pPr>
              <w:pStyle w:val="TA1"/>
              <w:jc w:val="right"/>
              <w:rPr>
                <w:rFonts w:eastAsiaTheme="minorEastAsia"/>
              </w:rPr>
            </w:pPr>
            <w:r>
              <w:t>3,1831</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25ECC472" w14:textId="77777777" w:rsidR="005D07A6" w:rsidRDefault="00F42774">
            <w:pPr>
              <w:pStyle w:val="TA1"/>
              <w:jc w:val="right"/>
              <w:rPr>
                <w:rFonts w:eastAsiaTheme="minorEastAsia"/>
              </w:rPr>
            </w:pPr>
            <w:r>
              <w:t>1,3</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07390BCE" w14:textId="77777777" w:rsidR="005D07A6" w:rsidRDefault="00F42774">
            <w:pPr>
              <w:pStyle w:val="TA1"/>
              <w:jc w:val="right"/>
              <w:rPr>
                <w:rFonts w:eastAsiaTheme="minorEastAsia"/>
              </w:rPr>
            </w:pPr>
            <w:r>
              <w:t>2,6526</w:t>
            </w:r>
          </w:p>
        </w:tc>
        <w:tc>
          <w:tcPr>
            <w:tcW w:w="615" w:type="dxa"/>
            <w:tcBorders>
              <w:top w:val="nil"/>
              <w:left w:val="single" w:sz="4" w:space="0" w:color="auto"/>
              <w:bottom w:val="nil"/>
              <w:right w:val="single" w:sz="4" w:space="0" w:color="auto"/>
            </w:tcBorders>
            <w:tcMar>
              <w:top w:w="0" w:type="dxa"/>
              <w:left w:w="2" w:type="dxa"/>
              <w:bottom w:w="0" w:type="dxa"/>
              <w:right w:w="2" w:type="dxa"/>
            </w:tcMar>
            <w:hideMark/>
          </w:tcPr>
          <w:p w14:paraId="32868EC4" w14:textId="77777777" w:rsidR="005D07A6" w:rsidRDefault="00F42774">
            <w:pPr>
              <w:pStyle w:val="TA1"/>
              <w:jc w:val="right"/>
              <w:rPr>
                <w:rFonts w:eastAsiaTheme="minorEastAsia"/>
              </w:rPr>
            </w:pPr>
            <w:r>
              <w:t>3,4484</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6F1FC021" w14:textId="77777777" w:rsidR="005D07A6" w:rsidRDefault="00F42774">
            <w:pPr>
              <w:pStyle w:val="TA1"/>
              <w:jc w:val="right"/>
              <w:rPr>
                <w:rFonts w:eastAsiaTheme="minorEastAsia"/>
              </w:rPr>
            </w:pPr>
            <w:r>
              <w:t>1,3</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301AA468" w14:textId="77777777" w:rsidR="005D07A6" w:rsidRDefault="00F42774">
            <w:pPr>
              <w:pStyle w:val="TA1"/>
              <w:jc w:val="right"/>
              <w:rPr>
                <w:rFonts w:eastAsiaTheme="minorEastAsia"/>
              </w:rPr>
            </w:pPr>
            <w:r>
              <w:t>2,6526</w:t>
            </w:r>
          </w:p>
        </w:tc>
        <w:tc>
          <w:tcPr>
            <w:tcW w:w="570" w:type="dxa"/>
            <w:tcBorders>
              <w:top w:val="nil"/>
              <w:left w:val="single" w:sz="4" w:space="0" w:color="auto"/>
              <w:bottom w:val="nil"/>
              <w:right w:val="single" w:sz="4" w:space="0" w:color="auto"/>
            </w:tcBorders>
            <w:tcMar>
              <w:top w:w="0" w:type="dxa"/>
              <w:left w:w="2" w:type="dxa"/>
              <w:bottom w:w="0" w:type="dxa"/>
              <w:right w:w="2" w:type="dxa"/>
            </w:tcMar>
            <w:hideMark/>
          </w:tcPr>
          <w:p w14:paraId="0921EB59" w14:textId="77777777" w:rsidR="005D07A6" w:rsidRDefault="00F42774">
            <w:pPr>
              <w:pStyle w:val="TA1"/>
              <w:jc w:val="right"/>
              <w:rPr>
                <w:rFonts w:eastAsiaTheme="minorEastAsia"/>
              </w:rPr>
            </w:pPr>
            <w:r>
              <w:t>3,4484</w:t>
            </w:r>
          </w:p>
        </w:tc>
      </w:tr>
      <w:tr w:rsidR="005D07A6" w14:paraId="7510FD16" w14:textId="77777777">
        <w:tc>
          <w:tcPr>
            <w:tcW w:w="10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BB8C323" w14:textId="77777777" w:rsidR="005D07A6" w:rsidRDefault="00F42774">
            <w:pPr>
              <w:pStyle w:val="TA1"/>
              <w:rPr>
                <w:rFonts w:eastAsiaTheme="minorEastAsia"/>
              </w:rPr>
            </w:pPr>
            <w:r>
              <w:t>C2</w:t>
            </w:r>
          </w:p>
        </w:tc>
        <w:tc>
          <w:tcPr>
            <w:tcW w:w="405" w:type="dxa"/>
            <w:tcBorders>
              <w:top w:val="nil"/>
              <w:left w:val="single" w:sz="4" w:space="0" w:color="auto"/>
              <w:bottom w:val="nil"/>
              <w:right w:val="single" w:sz="4" w:space="0" w:color="auto"/>
            </w:tcBorders>
            <w:tcMar>
              <w:top w:w="0" w:type="dxa"/>
              <w:left w:w="2" w:type="dxa"/>
              <w:bottom w:w="0" w:type="dxa"/>
              <w:right w:w="2" w:type="dxa"/>
            </w:tcMar>
            <w:hideMark/>
          </w:tcPr>
          <w:p w14:paraId="5A230415" w14:textId="77777777" w:rsidR="005D07A6" w:rsidRDefault="00F42774">
            <w:pPr>
              <w:pStyle w:val="TA1"/>
              <w:jc w:val="right"/>
              <w:rPr>
                <w:rFonts w:eastAsiaTheme="minorEastAsia"/>
              </w:rPr>
            </w:pPr>
            <w:r>
              <w:t>1,2</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0C6088D3" w14:textId="77777777" w:rsidR="005D07A6" w:rsidRDefault="00F42774">
            <w:pPr>
              <w:pStyle w:val="TA1"/>
              <w:jc w:val="right"/>
              <w:rPr>
                <w:rFonts w:eastAsiaTheme="minorEastAsia"/>
              </w:rPr>
            </w:pPr>
            <w:r>
              <w:t>4,9296</w:t>
            </w:r>
          </w:p>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6E6DCF68" w14:textId="77777777" w:rsidR="005D07A6" w:rsidRDefault="00F42774">
            <w:pPr>
              <w:pStyle w:val="TA1"/>
              <w:jc w:val="right"/>
              <w:rPr>
                <w:rFonts w:eastAsiaTheme="minorEastAsia"/>
              </w:rPr>
            </w:pPr>
            <w:r>
              <w:t>5,9155</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05BAB0EF" w14:textId="77777777" w:rsidR="005D07A6" w:rsidRDefault="00F42774">
            <w:pPr>
              <w:pStyle w:val="TA1"/>
              <w:jc w:val="right"/>
              <w:rPr>
                <w:rFonts w:eastAsiaTheme="minorEastAsia"/>
              </w:rPr>
            </w:pPr>
            <w:r>
              <w:t>1,3</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662286E1" w14:textId="77777777" w:rsidR="005D07A6" w:rsidRDefault="00F42774">
            <w:pPr>
              <w:pStyle w:val="TA1"/>
              <w:jc w:val="right"/>
              <w:rPr>
                <w:rFonts w:eastAsiaTheme="minorEastAsia"/>
              </w:rPr>
            </w:pPr>
            <w:r>
              <w:t>4,9296</w:t>
            </w:r>
          </w:p>
        </w:tc>
        <w:tc>
          <w:tcPr>
            <w:tcW w:w="615" w:type="dxa"/>
            <w:tcBorders>
              <w:top w:val="nil"/>
              <w:left w:val="single" w:sz="4" w:space="0" w:color="auto"/>
              <w:bottom w:val="nil"/>
              <w:right w:val="single" w:sz="4" w:space="0" w:color="auto"/>
            </w:tcBorders>
            <w:tcMar>
              <w:top w:w="0" w:type="dxa"/>
              <w:left w:w="2" w:type="dxa"/>
              <w:bottom w:w="0" w:type="dxa"/>
              <w:right w:w="2" w:type="dxa"/>
            </w:tcMar>
            <w:hideMark/>
          </w:tcPr>
          <w:p w14:paraId="559D5F92" w14:textId="77777777" w:rsidR="005D07A6" w:rsidRDefault="00F42774">
            <w:pPr>
              <w:pStyle w:val="TA1"/>
              <w:jc w:val="right"/>
              <w:rPr>
                <w:rFonts w:eastAsiaTheme="minorEastAsia"/>
              </w:rPr>
            </w:pPr>
            <w:r>
              <w:t>6,4085</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11684B38" w14:textId="77777777" w:rsidR="005D07A6" w:rsidRDefault="00F42774">
            <w:pPr>
              <w:pStyle w:val="TA1"/>
              <w:jc w:val="right"/>
              <w:rPr>
                <w:rFonts w:eastAsiaTheme="minorEastAsia"/>
              </w:rPr>
            </w:pPr>
            <w:r>
              <w:t>1,3</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691A5B63" w14:textId="77777777" w:rsidR="005D07A6" w:rsidRDefault="00F42774">
            <w:pPr>
              <w:pStyle w:val="TA1"/>
              <w:jc w:val="right"/>
              <w:rPr>
                <w:rFonts w:eastAsiaTheme="minorEastAsia"/>
              </w:rPr>
            </w:pPr>
            <w:r>
              <w:t>4,9296</w:t>
            </w:r>
          </w:p>
        </w:tc>
        <w:tc>
          <w:tcPr>
            <w:tcW w:w="570" w:type="dxa"/>
            <w:tcBorders>
              <w:top w:val="nil"/>
              <w:left w:val="single" w:sz="4" w:space="0" w:color="auto"/>
              <w:bottom w:val="nil"/>
              <w:right w:val="single" w:sz="4" w:space="0" w:color="auto"/>
            </w:tcBorders>
            <w:tcMar>
              <w:top w:w="0" w:type="dxa"/>
              <w:left w:w="2" w:type="dxa"/>
              <w:bottom w:w="0" w:type="dxa"/>
              <w:right w:w="2" w:type="dxa"/>
            </w:tcMar>
            <w:hideMark/>
          </w:tcPr>
          <w:p w14:paraId="3330E013" w14:textId="77777777" w:rsidR="005D07A6" w:rsidRDefault="00F42774">
            <w:pPr>
              <w:pStyle w:val="TA1"/>
              <w:jc w:val="right"/>
              <w:rPr>
                <w:rFonts w:eastAsiaTheme="minorEastAsia"/>
              </w:rPr>
            </w:pPr>
            <w:r>
              <w:t>6,4085</w:t>
            </w:r>
          </w:p>
        </w:tc>
      </w:tr>
      <w:tr w:rsidR="005D07A6" w14:paraId="2807426A" w14:textId="77777777">
        <w:tc>
          <w:tcPr>
            <w:tcW w:w="10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7CA1A12" w14:textId="77777777" w:rsidR="005D07A6" w:rsidRDefault="00F42774">
            <w:pPr>
              <w:pStyle w:val="TA1"/>
              <w:rPr>
                <w:rFonts w:eastAsiaTheme="minorEastAsia"/>
              </w:rPr>
            </w:pPr>
            <w:r>
              <w:t>C3</w:t>
            </w:r>
          </w:p>
        </w:tc>
        <w:tc>
          <w:tcPr>
            <w:tcW w:w="405" w:type="dxa"/>
            <w:tcBorders>
              <w:top w:val="nil"/>
              <w:left w:val="single" w:sz="4" w:space="0" w:color="auto"/>
              <w:bottom w:val="nil"/>
              <w:right w:val="single" w:sz="4" w:space="0" w:color="auto"/>
            </w:tcBorders>
            <w:tcMar>
              <w:top w:w="0" w:type="dxa"/>
              <w:left w:w="2" w:type="dxa"/>
              <w:bottom w:w="0" w:type="dxa"/>
              <w:right w:w="2" w:type="dxa"/>
            </w:tcMar>
            <w:hideMark/>
          </w:tcPr>
          <w:p w14:paraId="0F56FFBB" w14:textId="77777777" w:rsidR="005D07A6" w:rsidRDefault="00F42774">
            <w:pPr>
              <w:pStyle w:val="TA1"/>
              <w:jc w:val="right"/>
              <w:rPr>
                <w:rFonts w:eastAsiaTheme="minorEastAsia"/>
              </w:rPr>
            </w:pPr>
            <w:r>
              <w:t>3</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179D5E96" w14:textId="77777777" w:rsidR="005D07A6" w:rsidRDefault="00F42774">
            <w:pPr>
              <w:pStyle w:val="TA1"/>
              <w:jc w:val="right"/>
              <w:rPr>
                <w:rFonts w:eastAsiaTheme="minorEastAsia"/>
              </w:rPr>
            </w:pPr>
            <w:r>
              <w:t>4,0650</w:t>
            </w:r>
          </w:p>
        </w:tc>
        <w:tc>
          <w:tcPr>
            <w:tcW w:w="645" w:type="dxa"/>
            <w:tcBorders>
              <w:top w:val="nil"/>
              <w:left w:val="single" w:sz="4" w:space="0" w:color="auto"/>
              <w:bottom w:val="nil"/>
              <w:right w:val="single" w:sz="4" w:space="0" w:color="auto"/>
            </w:tcBorders>
            <w:tcMar>
              <w:top w:w="0" w:type="dxa"/>
              <w:left w:w="2" w:type="dxa"/>
              <w:bottom w:w="0" w:type="dxa"/>
              <w:right w:w="2" w:type="dxa"/>
            </w:tcMar>
            <w:hideMark/>
          </w:tcPr>
          <w:p w14:paraId="0B425612" w14:textId="77777777" w:rsidR="005D07A6" w:rsidRDefault="00F42774">
            <w:pPr>
              <w:pStyle w:val="TA1"/>
              <w:jc w:val="right"/>
              <w:rPr>
                <w:rFonts w:eastAsiaTheme="minorEastAsia"/>
              </w:rPr>
            </w:pPr>
            <w:r>
              <w:t>12,1950</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0AEC9F26" w14:textId="77777777" w:rsidR="005D07A6" w:rsidRDefault="00F42774">
            <w:pPr>
              <w:pStyle w:val="TA1"/>
              <w:jc w:val="right"/>
              <w:rPr>
                <w:rFonts w:eastAsiaTheme="minorEastAsia"/>
              </w:rPr>
            </w:pPr>
            <w:r>
              <w:t>5/3</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32A22788" w14:textId="77777777" w:rsidR="005D07A6" w:rsidRDefault="00F42774">
            <w:pPr>
              <w:pStyle w:val="TA1"/>
              <w:jc w:val="right"/>
              <w:rPr>
                <w:rFonts w:eastAsiaTheme="minorEastAsia"/>
              </w:rPr>
            </w:pPr>
            <w:r>
              <w:t>4,0650</w:t>
            </w:r>
          </w:p>
        </w:tc>
        <w:tc>
          <w:tcPr>
            <w:tcW w:w="615" w:type="dxa"/>
            <w:tcBorders>
              <w:top w:val="nil"/>
              <w:left w:val="single" w:sz="4" w:space="0" w:color="auto"/>
              <w:bottom w:val="nil"/>
              <w:right w:val="single" w:sz="4" w:space="0" w:color="auto"/>
            </w:tcBorders>
            <w:tcMar>
              <w:top w:w="0" w:type="dxa"/>
              <w:left w:w="2" w:type="dxa"/>
              <w:bottom w:w="0" w:type="dxa"/>
              <w:right w:w="2" w:type="dxa"/>
            </w:tcMar>
            <w:hideMark/>
          </w:tcPr>
          <w:p w14:paraId="11D36520" w14:textId="77777777" w:rsidR="005D07A6" w:rsidRDefault="00F42774">
            <w:pPr>
              <w:pStyle w:val="TA1"/>
              <w:jc w:val="right"/>
              <w:rPr>
                <w:rFonts w:eastAsiaTheme="minorEastAsia"/>
              </w:rPr>
            </w:pPr>
            <w:r>
              <w:t>6,7750</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75DB327F" w14:textId="77777777" w:rsidR="005D07A6" w:rsidRDefault="00F42774">
            <w:pPr>
              <w:pStyle w:val="TA1"/>
              <w:jc w:val="right"/>
              <w:rPr>
                <w:rFonts w:eastAsiaTheme="minorEastAsia"/>
              </w:rPr>
            </w:pPr>
            <w:r>
              <w:t>2</w:t>
            </w:r>
          </w:p>
        </w:tc>
        <w:tc>
          <w:tcPr>
            <w:tcW w:w="465" w:type="dxa"/>
            <w:tcBorders>
              <w:top w:val="nil"/>
              <w:left w:val="single" w:sz="4" w:space="0" w:color="auto"/>
              <w:bottom w:val="nil"/>
              <w:right w:val="single" w:sz="4" w:space="0" w:color="auto"/>
            </w:tcBorders>
            <w:tcMar>
              <w:top w:w="0" w:type="dxa"/>
              <w:left w:w="2" w:type="dxa"/>
              <w:bottom w:w="0" w:type="dxa"/>
              <w:right w:w="2" w:type="dxa"/>
            </w:tcMar>
            <w:hideMark/>
          </w:tcPr>
          <w:p w14:paraId="752D22FA" w14:textId="77777777" w:rsidR="005D07A6" w:rsidRDefault="00F42774">
            <w:pPr>
              <w:pStyle w:val="TA1"/>
              <w:jc w:val="right"/>
              <w:rPr>
                <w:rFonts w:eastAsiaTheme="minorEastAsia"/>
              </w:rPr>
            </w:pPr>
            <w:r>
              <w:t>4,0650</w:t>
            </w:r>
          </w:p>
        </w:tc>
        <w:tc>
          <w:tcPr>
            <w:tcW w:w="570" w:type="dxa"/>
            <w:tcBorders>
              <w:top w:val="nil"/>
              <w:left w:val="single" w:sz="4" w:space="0" w:color="auto"/>
              <w:bottom w:val="nil"/>
              <w:right w:val="single" w:sz="4" w:space="0" w:color="auto"/>
            </w:tcBorders>
            <w:tcMar>
              <w:top w:w="0" w:type="dxa"/>
              <w:left w:w="2" w:type="dxa"/>
              <w:bottom w:w="0" w:type="dxa"/>
              <w:right w:w="2" w:type="dxa"/>
            </w:tcMar>
            <w:hideMark/>
          </w:tcPr>
          <w:p w14:paraId="5FA3BFF0" w14:textId="77777777" w:rsidR="005D07A6" w:rsidRDefault="00F42774">
            <w:pPr>
              <w:pStyle w:val="TA1"/>
              <w:jc w:val="right"/>
              <w:rPr>
                <w:rFonts w:eastAsiaTheme="minorEastAsia"/>
              </w:rPr>
            </w:pPr>
            <w:r>
              <w:t>8,1300</w:t>
            </w:r>
          </w:p>
        </w:tc>
      </w:tr>
      <w:tr w:rsidR="005D07A6" w14:paraId="76412A6E" w14:textId="77777777">
        <w:tc>
          <w:tcPr>
            <w:tcW w:w="10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98BA963" w14:textId="77777777" w:rsidR="005D07A6" w:rsidRDefault="00F42774">
            <w:pPr>
              <w:pStyle w:val="TA1"/>
              <w:rPr>
                <w:rFonts w:eastAsiaTheme="minorEastAsia"/>
              </w:rPr>
            </w:pPr>
            <w:r>
              <w:t>C4</w:t>
            </w:r>
          </w:p>
        </w:tc>
        <w:tc>
          <w:tcPr>
            <w:tcW w:w="4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DEDFC61" w14:textId="77777777" w:rsidR="005D07A6" w:rsidRDefault="00F42774">
            <w:pPr>
              <w:pStyle w:val="TA1"/>
              <w:jc w:val="right"/>
              <w:rPr>
                <w:rFonts w:eastAsiaTheme="minorEastAsia"/>
              </w:rPr>
            </w:pPr>
            <w:r>
              <w:t>1</w:t>
            </w:r>
          </w:p>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DF7DEAA" w14:textId="77777777" w:rsidR="005D07A6" w:rsidRDefault="00F42774">
            <w:pPr>
              <w:pStyle w:val="TA1"/>
              <w:jc w:val="right"/>
              <w:rPr>
                <w:rFonts w:eastAsiaTheme="minorEastAsia"/>
              </w:rPr>
            </w:pPr>
            <w:r>
              <w:t>0,2941</w:t>
            </w:r>
          </w:p>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9262042" w14:textId="77777777" w:rsidR="005D07A6" w:rsidRDefault="00F42774">
            <w:pPr>
              <w:pStyle w:val="TA1"/>
              <w:jc w:val="right"/>
              <w:rPr>
                <w:rFonts w:eastAsiaTheme="minorEastAsia"/>
              </w:rPr>
            </w:pPr>
            <w:r>
              <w:t>0,2941</w:t>
            </w:r>
          </w:p>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6B07199" w14:textId="77777777" w:rsidR="005D07A6" w:rsidRDefault="00F42774">
            <w:pPr>
              <w:pStyle w:val="TA1"/>
              <w:jc w:val="right"/>
              <w:rPr>
                <w:rFonts w:eastAsiaTheme="minorEastAsia"/>
              </w:rPr>
            </w:pPr>
            <w:r>
              <w:t>1</w:t>
            </w:r>
          </w:p>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A02CA74" w14:textId="77777777" w:rsidR="005D07A6" w:rsidRDefault="00F42774">
            <w:pPr>
              <w:pStyle w:val="TA1"/>
              <w:jc w:val="right"/>
              <w:rPr>
                <w:rFonts w:eastAsiaTheme="minorEastAsia"/>
              </w:rPr>
            </w:pPr>
            <w:r>
              <w:t>0,2941</w:t>
            </w:r>
          </w:p>
        </w:tc>
        <w:tc>
          <w:tcPr>
            <w:tcW w:w="61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81DB61B" w14:textId="77777777" w:rsidR="005D07A6" w:rsidRDefault="00F42774">
            <w:pPr>
              <w:pStyle w:val="TA1"/>
              <w:jc w:val="right"/>
              <w:rPr>
                <w:rFonts w:eastAsiaTheme="minorEastAsia"/>
              </w:rPr>
            </w:pPr>
            <w:r>
              <w:t>0,2941</w:t>
            </w:r>
          </w:p>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6E00E36" w14:textId="77777777" w:rsidR="005D07A6" w:rsidRDefault="00F42774">
            <w:pPr>
              <w:pStyle w:val="TA1"/>
              <w:jc w:val="right"/>
              <w:rPr>
                <w:rFonts w:eastAsiaTheme="minorEastAsia"/>
              </w:rPr>
            </w:pPr>
            <w:r>
              <w:t>1</w:t>
            </w:r>
          </w:p>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C8E16BE" w14:textId="77777777" w:rsidR="005D07A6" w:rsidRDefault="00F42774">
            <w:pPr>
              <w:pStyle w:val="TA1"/>
              <w:jc w:val="right"/>
              <w:rPr>
                <w:rFonts w:eastAsiaTheme="minorEastAsia"/>
              </w:rPr>
            </w:pPr>
            <w:r>
              <w:t>0,2941</w:t>
            </w:r>
          </w:p>
        </w:tc>
        <w:tc>
          <w:tcPr>
            <w:tcW w:w="57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20B4ACB" w14:textId="77777777" w:rsidR="005D07A6" w:rsidRDefault="00F42774">
            <w:pPr>
              <w:pStyle w:val="TA1"/>
              <w:jc w:val="right"/>
              <w:rPr>
                <w:rFonts w:eastAsiaTheme="minorEastAsia"/>
              </w:rPr>
            </w:pPr>
            <w:r>
              <w:t>0,2941</w:t>
            </w:r>
          </w:p>
        </w:tc>
      </w:tr>
      <w:tr w:rsidR="005D07A6" w14:paraId="742CB774" w14:textId="77777777">
        <w:tc>
          <w:tcPr>
            <w:tcW w:w="10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D05B240" w14:textId="77777777" w:rsidR="005D07A6" w:rsidRDefault="00F42774">
            <w:pPr>
              <w:pStyle w:val="TA1"/>
              <w:rPr>
                <w:rFonts w:eastAsiaTheme="minorEastAsia"/>
              </w:rPr>
            </w:pPr>
            <w:r>
              <w:t>Coût production</w:t>
            </w:r>
          </w:p>
        </w:tc>
        <w:tc>
          <w:tcPr>
            <w:tcW w:w="4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E94177F" w14:textId="77777777" w:rsidR="005D07A6" w:rsidRDefault="005D07A6"/>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256193C" w14:textId="77777777" w:rsidR="005D07A6" w:rsidRDefault="005D07A6"/>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C12F22F" w14:textId="77777777" w:rsidR="005D07A6" w:rsidRDefault="00F42774">
            <w:pPr>
              <w:pStyle w:val="TA1"/>
              <w:jc w:val="right"/>
              <w:rPr>
                <w:rFonts w:eastAsiaTheme="minorEastAsia"/>
              </w:rPr>
            </w:pPr>
            <w:r>
              <w:t>87,5877</w:t>
            </w:r>
          </w:p>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DE1B150" w14:textId="77777777" w:rsidR="005D07A6" w:rsidRDefault="005D07A6"/>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65C4BC4" w14:textId="77777777" w:rsidR="005D07A6" w:rsidRDefault="005D07A6"/>
        </w:tc>
        <w:tc>
          <w:tcPr>
            <w:tcW w:w="61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DD361DE" w14:textId="77777777" w:rsidR="005D07A6" w:rsidRDefault="00F42774">
            <w:pPr>
              <w:pStyle w:val="TA1"/>
              <w:jc w:val="right"/>
              <w:rPr>
                <w:rFonts w:eastAsiaTheme="minorEastAsia"/>
              </w:rPr>
            </w:pPr>
            <w:r>
              <w:t>110,9260</w:t>
            </w:r>
          </w:p>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15E35F3" w14:textId="77777777" w:rsidR="005D07A6" w:rsidRDefault="005D07A6"/>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6487CE0" w14:textId="77777777" w:rsidR="005D07A6" w:rsidRDefault="005D07A6"/>
        </w:tc>
        <w:tc>
          <w:tcPr>
            <w:tcW w:w="57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5EB6FCC" w14:textId="77777777" w:rsidR="005D07A6" w:rsidRDefault="00F42774">
            <w:pPr>
              <w:pStyle w:val="TA1"/>
              <w:jc w:val="right"/>
              <w:rPr>
                <w:rFonts w:eastAsiaTheme="minorEastAsia"/>
              </w:rPr>
            </w:pPr>
            <w:r>
              <w:t>163,2810</w:t>
            </w:r>
          </w:p>
        </w:tc>
      </w:tr>
      <w:tr w:rsidR="005D07A6" w14:paraId="00AD007F" w14:textId="77777777">
        <w:tc>
          <w:tcPr>
            <w:tcW w:w="10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286CEE1" w14:textId="77777777" w:rsidR="005D07A6" w:rsidRDefault="00F42774">
            <w:pPr>
              <w:pStyle w:val="TA1"/>
              <w:rPr>
                <w:rFonts w:eastAsiaTheme="minorEastAsia"/>
              </w:rPr>
            </w:pPr>
            <w:r>
              <w:t>C5</w:t>
            </w:r>
          </w:p>
        </w:tc>
        <w:tc>
          <w:tcPr>
            <w:tcW w:w="4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8BB83C0" w14:textId="77777777" w:rsidR="005D07A6" w:rsidRDefault="00F42774">
            <w:pPr>
              <w:pStyle w:val="TA1"/>
              <w:jc w:val="right"/>
              <w:rPr>
                <w:rFonts w:eastAsiaTheme="minorEastAsia"/>
              </w:rPr>
            </w:pPr>
            <w:r>
              <w:t>87,59</w:t>
            </w:r>
          </w:p>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CBA39E4" w14:textId="77777777" w:rsidR="005D07A6" w:rsidRDefault="00F42774">
            <w:pPr>
              <w:pStyle w:val="TA1"/>
              <w:jc w:val="right"/>
              <w:rPr>
                <w:rFonts w:eastAsiaTheme="minorEastAsia"/>
              </w:rPr>
            </w:pPr>
            <w:r>
              <w:t>0,0177</w:t>
            </w:r>
          </w:p>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F4B8AD6" w14:textId="77777777" w:rsidR="005D07A6" w:rsidRDefault="00F42774">
            <w:pPr>
              <w:pStyle w:val="TA1"/>
              <w:jc w:val="right"/>
              <w:rPr>
                <w:rFonts w:eastAsiaTheme="minorEastAsia"/>
              </w:rPr>
            </w:pPr>
            <w:r>
              <w:t>1,5530</w:t>
            </w:r>
          </w:p>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01A179E" w14:textId="77777777" w:rsidR="005D07A6" w:rsidRDefault="00F42774">
            <w:pPr>
              <w:pStyle w:val="TA1"/>
              <w:jc w:val="right"/>
              <w:rPr>
                <w:rFonts w:eastAsiaTheme="minorEastAsia"/>
              </w:rPr>
            </w:pPr>
            <w:r>
              <w:t>110,93</w:t>
            </w:r>
          </w:p>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4090D79" w14:textId="77777777" w:rsidR="005D07A6" w:rsidRDefault="00F42774">
            <w:pPr>
              <w:pStyle w:val="TA1"/>
              <w:jc w:val="right"/>
              <w:rPr>
                <w:rFonts w:eastAsiaTheme="minorEastAsia"/>
              </w:rPr>
            </w:pPr>
            <w:r>
              <w:t>0,0177</w:t>
            </w:r>
          </w:p>
        </w:tc>
        <w:tc>
          <w:tcPr>
            <w:tcW w:w="61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A56A536" w14:textId="77777777" w:rsidR="005D07A6" w:rsidRDefault="00F42774">
            <w:pPr>
              <w:pStyle w:val="TA1"/>
              <w:jc w:val="right"/>
              <w:rPr>
                <w:rFonts w:eastAsiaTheme="minorEastAsia"/>
              </w:rPr>
            </w:pPr>
            <w:r>
              <w:t>1,9668</w:t>
            </w:r>
          </w:p>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90CE2AE" w14:textId="77777777" w:rsidR="005D07A6" w:rsidRDefault="00F42774">
            <w:pPr>
              <w:pStyle w:val="TA1"/>
              <w:jc w:val="right"/>
              <w:rPr>
                <w:rFonts w:eastAsiaTheme="minorEastAsia"/>
              </w:rPr>
            </w:pPr>
            <w:r>
              <w:t>163,28</w:t>
            </w:r>
          </w:p>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E6113CB" w14:textId="77777777" w:rsidR="005D07A6" w:rsidRDefault="00F42774">
            <w:pPr>
              <w:pStyle w:val="TA1"/>
              <w:jc w:val="right"/>
              <w:rPr>
                <w:rFonts w:eastAsiaTheme="minorEastAsia"/>
              </w:rPr>
            </w:pPr>
            <w:r>
              <w:t>0,0177</w:t>
            </w:r>
          </w:p>
        </w:tc>
        <w:tc>
          <w:tcPr>
            <w:tcW w:w="57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D40F969" w14:textId="77777777" w:rsidR="005D07A6" w:rsidRDefault="00F42774">
            <w:pPr>
              <w:pStyle w:val="TA1"/>
              <w:jc w:val="right"/>
              <w:rPr>
                <w:rFonts w:eastAsiaTheme="minorEastAsia"/>
              </w:rPr>
            </w:pPr>
            <w:r>
              <w:t>2,8951</w:t>
            </w:r>
          </w:p>
        </w:tc>
      </w:tr>
      <w:tr w:rsidR="005D07A6" w14:paraId="62E685C8" w14:textId="77777777">
        <w:tc>
          <w:tcPr>
            <w:tcW w:w="10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7F8C954" w14:textId="77777777" w:rsidR="005D07A6" w:rsidRDefault="00F42774">
            <w:pPr>
              <w:pStyle w:val="TA1"/>
              <w:rPr>
                <w:rFonts w:eastAsiaTheme="minorEastAsia"/>
              </w:rPr>
            </w:pPr>
            <w:r>
              <w:t>Coût de revient</w:t>
            </w:r>
          </w:p>
        </w:tc>
        <w:tc>
          <w:tcPr>
            <w:tcW w:w="40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E50500A" w14:textId="77777777" w:rsidR="005D07A6" w:rsidRDefault="005D07A6"/>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A1B81A4" w14:textId="77777777" w:rsidR="005D07A6" w:rsidRDefault="005D07A6"/>
        </w:tc>
        <w:tc>
          <w:tcPr>
            <w:tcW w:w="64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C491EF6" w14:textId="77777777" w:rsidR="005D07A6" w:rsidRDefault="00F42774">
            <w:pPr>
              <w:pStyle w:val="TA1"/>
              <w:jc w:val="right"/>
              <w:rPr>
                <w:rFonts w:eastAsiaTheme="minorEastAsia"/>
              </w:rPr>
            </w:pPr>
            <w:r>
              <w:t>89,1407</w:t>
            </w:r>
          </w:p>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C35878E" w14:textId="77777777" w:rsidR="005D07A6" w:rsidRDefault="005D07A6"/>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C9E114C" w14:textId="77777777" w:rsidR="005D07A6" w:rsidRDefault="005D07A6"/>
        </w:tc>
        <w:tc>
          <w:tcPr>
            <w:tcW w:w="61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70A9216" w14:textId="77777777" w:rsidR="005D07A6" w:rsidRDefault="00F42774">
            <w:pPr>
              <w:pStyle w:val="TA1"/>
              <w:jc w:val="right"/>
              <w:rPr>
                <w:rFonts w:eastAsiaTheme="minorEastAsia"/>
              </w:rPr>
            </w:pPr>
            <w:r>
              <w:t>112,8928</w:t>
            </w:r>
          </w:p>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B932B09" w14:textId="77777777" w:rsidR="005D07A6" w:rsidRDefault="005D07A6"/>
        </w:tc>
        <w:tc>
          <w:tcPr>
            <w:tcW w:w="4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7E6D853" w14:textId="77777777" w:rsidR="005D07A6" w:rsidRDefault="005D07A6"/>
        </w:tc>
        <w:tc>
          <w:tcPr>
            <w:tcW w:w="57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E05E31D" w14:textId="77777777" w:rsidR="005D07A6" w:rsidRDefault="00F42774">
            <w:pPr>
              <w:pStyle w:val="TA1"/>
              <w:jc w:val="right"/>
              <w:rPr>
                <w:rFonts w:eastAsiaTheme="minorEastAsia"/>
              </w:rPr>
            </w:pPr>
            <w:r>
              <w:t>166,1760</w:t>
            </w:r>
          </w:p>
        </w:tc>
      </w:tr>
      <w:tr w:rsidR="005D07A6" w14:paraId="1E3F4F32" w14:textId="77777777">
        <w:tc>
          <w:tcPr>
            <w:tcW w:w="10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0A736FA" w14:textId="77777777" w:rsidR="005D07A6" w:rsidRDefault="00F42774">
            <w:pPr>
              <w:pStyle w:val="TA1"/>
              <w:rPr>
                <w:rFonts w:eastAsiaTheme="minorEastAsia"/>
              </w:rPr>
            </w:pPr>
            <w:r>
              <w:t>Prix de vente</w:t>
            </w:r>
          </w:p>
        </w:tc>
        <w:tc>
          <w:tcPr>
            <w:tcW w:w="40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9F4EF2E" w14:textId="77777777" w:rsidR="005D07A6" w:rsidRDefault="005D07A6"/>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488BA29" w14:textId="77777777" w:rsidR="005D07A6" w:rsidRDefault="005D07A6"/>
        </w:tc>
        <w:tc>
          <w:tcPr>
            <w:tcW w:w="64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C5A99CD" w14:textId="77777777" w:rsidR="005D07A6" w:rsidRDefault="00F42774">
            <w:pPr>
              <w:pStyle w:val="TA1"/>
              <w:jc w:val="right"/>
              <w:rPr>
                <w:rFonts w:eastAsiaTheme="minorEastAsia"/>
              </w:rPr>
            </w:pPr>
            <w:r>
              <w:t>89</w:t>
            </w:r>
          </w:p>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ACB1E51" w14:textId="77777777" w:rsidR="005D07A6" w:rsidRDefault="005D07A6"/>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D570941" w14:textId="77777777" w:rsidR="005D07A6" w:rsidRDefault="005D07A6"/>
        </w:tc>
        <w:tc>
          <w:tcPr>
            <w:tcW w:w="61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F0AD7F4" w14:textId="77777777" w:rsidR="005D07A6" w:rsidRDefault="00F42774">
            <w:pPr>
              <w:pStyle w:val="TA1"/>
              <w:jc w:val="right"/>
              <w:rPr>
                <w:rFonts w:eastAsiaTheme="minorEastAsia"/>
              </w:rPr>
            </w:pPr>
            <w:r>
              <w:t>115</w:t>
            </w:r>
          </w:p>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E0BA793" w14:textId="77777777" w:rsidR="005D07A6" w:rsidRDefault="005D07A6"/>
        </w:tc>
        <w:tc>
          <w:tcPr>
            <w:tcW w:w="4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02876A9" w14:textId="77777777" w:rsidR="005D07A6" w:rsidRDefault="005D07A6"/>
        </w:tc>
        <w:tc>
          <w:tcPr>
            <w:tcW w:w="57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B5D1D71" w14:textId="77777777" w:rsidR="005D07A6" w:rsidRDefault="00F42774">
            <w:pPr>
              <w:pStyle w:val="TA1"/>
              <w:jc w:val="right"/>
              <w:rPr>
                <w:rFonts w:eastAsiaTheme="minorEastAsia"/>
              </w:rPr>
            </w:pPr>
            <w:r>
              <w:t>180</w:t>
            </w:r>
          </w:p>
        </w:tc>
      </w:tr>
      <w:tr w:rsidR="005D07A6" w14:paraId="752B0B04" w14:textId="77777777">
        <w:tc>
          <w:tcPr>
            <w:tcW w:w="10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DCDEE27" w14:textId="77777777" w:rsidR="005D07A6" w:rsidRDefault="00F42774">
            <w:pPr>
              <w:pStyle w:val="TA1"/>
              <w:rPr>
                <w:rFonts w:eastAsiaTheme="minorEastAsia"/>
              </w:rPr>
            </w:pPr>
            <w:r>
              <w:t>Résultat unitaire</w:t>
            </w:r>
          </w:p>
        </w:tc>
        <w:tc>
          <w:tcPr>
            <w:tcW w:w="4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03648D3" w14:textId="77777777" w:rsidR="005D07A6" w:rsidRDefault="005D07A6"/>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D94ADD5" w14:textId="77777777" w:rsidR="005D07A6" w:rsidRDefault="005D07A6"/>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BDD7C6C" w14:textId="77777777" w:rsidR="005D07A6" w:rsidRDefault="00F42774">
            <w:pPr>
              <w:pStyle w:val="TA1"/>
              <w:jc w:val="right"/>
              <w:rPr>
                <w:rFonts w:eastAsiaTheme="minorEastAsia"/>
              </w:rPr>
            </w:pPr>
            <w:r>
              <w:t>– 0,1407</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AFB3658" w14:textId="77777777" w:rsidR="005D07A6" w:rsidRDefault="005D07A6"/>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260923C" w14:textId="77777777" w:rsidR="005D07A6" w:rsidRDefault="005D07A6"/>
        </w:tc>
        <w:tc>
          <w:tcPr>
            <w:tcW w:w="6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DD6A71E" w14:textId="77777777" w:rsidR="005D07A6" w:rsidRDefault="00F42774">
            <w:pPr>
              <w:pStyle w:val="TA1"/>
              <w:jc w:val="right"/>
              <w:rPr>
                <w:rFonts w:eastAsiaTheme="minorEastAsia"/>
              </w:rPr>
            </w:pPr>
            <w:r>
              <w:t>2,1072</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ED600E5" w14:textId="77777777" w:rsidR="005D07A6" w:rsidRDefault="005D07A6"/>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2ED1740" w14:textId="77777777" w:rsidR="005D07A6" w:rsidRDefault="005D07A6"/>
        </w:tc>
        <w:tc>
          <w:tcPr>
            <w:tcW w:w="5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CA1C5B8" w14:textId="77777777" w:rsidR="005D07A6" w:rsidRDefault="00F42774">
            <w:pPr>
              <w:pStyle w:val="TA1"/>
              <w:jc w:val="right"/>
              <w:rPr>
                <w:rFonts w:eastAsiaTheme="minorEastAsia"/>
              </w:rPr>
            </w:pPr>
            <w:r>
              <w:t>13,8240</w:t>
            </w:r>
          </w:p>
        </w:tc>
      </w:tr>
      <w:tr w:rsidR="005D07A6" w14:paraId="3586EEF7" w14:textId="77777777">
        <w:tc>
          <w:tcPr>
            <w:tcW w:w="100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F529D3B" w14:textId="77777777" w:rsidR="005D07A6" w:rsidRDefault="00F42774">
            <w:pPr>
              <w:pStyle w:val="TA1"/>
              <w:rPr>
                <w:rFonts w:eastAsiaTheme="minorEastAsia"/>
              </w:rPr>
            </w:pPr>
            <w:r>
              <w:t>Résultat total</w:t>
            </w:r>
          </w:p>
        </w:tc>
        <w:tc>
          <w:tcPr>
            <w:tcW w:w="40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F668ED0" w14:textId="77777777" w:rsidR="005D07A6" w:rsidRDefault="005D07A6"/>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C81AC1C" w14:textId="77777777" w:rsidR="005D07A6" w:rsidRDefault="005D07A6"/>
        </w:tc>
        <w:tc>
          <w:tcPr>
            <w:tcW w:w="6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5B49367" w14:textId="77777777" w:rsidR="005D07A6" w:rsidRDefault="00F42774">
            <w:pPr>
              <w:pStyle w:val="TA1"/>
              <w:jc w:val="right"/>
              <w:rPr>
                <w:rFonts w:eastAsiaTheme="minorEastAsia"/>
              </w:rPr>
            </w:pPr>
            <w:r>
              <w:t>– 5 629,35</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B87991B" w14:textId="77777777" w:rsidR="005D07A6" w:rsidRDefault="005D07A6"/>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C096D9C" w14:textId="77777777" w:rsidR="005D07A6" w:rsidRDefault="005D07A6"/>
        </w:tc>
        <w:tc>
          <w:tcPr>
            <w:tcW w:w="6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0BEDA7B" w14:textId="77777777" w:rsidR="005D07A6" w:rsidRDefault="00F42774">
            <w:pPr>
              <w:pStyle w:val="TA1"/>
              <w:jc w:val="right"/>
              <w:rPr>
                <w:rFonts w:eastAsiaTheme="minorEastAsia"/>
              </w:rPr>
            </w:pPr>
            <w:r>
              <w:t>63 217,28</w:t>
            </w:r>
          </w:p>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4D06E3C" w14:textId="77777777" w:rsidR="005D07A6" w:rsidRDefault="005D07A6"/>
        </w:tc>
        <w:tc>
          <w:tcPr>
            <w:tcW w:w="4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B21CD91" w14:textId="77777777" w:rsidR="005D07A6" w:rsidRDefault="005D07A6"/>
        </w:tc>
        <w:tc>
          <w:tcPr>
            <w:tcW w:w="57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AD7D805" w14:textId="77777777" w:rsidR="005D07A6" w:rsidRDefault="00F42774">
            <w:pPr>
              <w:pStyle w:val="TA1"/>
              <w:jc w:val="right"/>
              <w:rPr>
                <w:rFonts w:eastAsiaTheme="minorEastAsia"/>
              </w:rPr>
            </w:pPr>
            <w:r>
              <w:t>207 360</w:t>
            </w:r>
          </w:p>
        </w:tc>
      </w:tr>
    </w:tbl>
    <w:p w14:paraId="148A4795" w14:textId="77777777" w:rsidR="005D07A6" w:rsidRDefault="00F42774">
      <w:pPr>
        <w:pStyle w:val="CTEspDessous"/>
        <w:rPr>
          <w:rFonts w:eastAsiaTheme="minorEastAsia"/>
        </w:rPr>
      </w:pPr>
      <w:r>
        <w:t>Résultat de la société : 264 947,93</w:t>
      </w:r>
    </w:p>
    <w:p w14:paraId="17E8EE68" w14:textId="77777777" w:rsidR="005D07A6" w:rsidRDefault="00F42774">
      <w:pPr>
        <w:pStyle w:val="TNiv1"/>
      </w:pPr>
      <w:r>
        <w:rPr>
          <w:rStyle w:val="RefQuestion"/>
        </w:rPr>
        <w:t>2</w:t>
      </w:r>
      <w:r>
        <w:t>. Commentaires des résultats</w:t>
      </w:r>
    </w:p>
    <w:p w14:paraId="5E0EC600" w14:textId="77777777" w:rsidR="005D07A6" w:rsidRDefault="00F42774">
      <w:pPr>
        <w:pStyle w:val="CTEspDessous"/>
      </w:pPr>
      <w:r>
        <w:t xml:space="preserve">Le produit X est déficitaire. </w:t>
      </w:r>
      <w:r>
        <w:rPr>
          <w:b/>
          <w:bCs/>
        </w:rPr>
        <w:t>Il n’est pas possible de prendre une décision sur le maintien ou l’abandon du produit pour l’instant.</w:t>
      </w:r>
      <w:r>
        <w:t xml:space="preserve"> Pour répondre à cette question, il convient soit de calculer la marge sur coûts variables (ce qui n’est pas possible puisque la ventilation charges variables-charges fixes n’est pas communiquée), soit de recalculer les coûts avec une méthode plus adaptée pour prendre en compte la complexité des produits tant au niveau de leur composition que de leur production.</w:t>
      </w:r>
    </w:p>
    <w:p w14:paraId="77CECD02" w14:textId="77777777" w:rsidR="005D07A6" w:rsidRDefault="00F42774">
      <w:pPr>
        <w:pStyle w:val="TNiv1"/>
      </w:pPr>
      <w:r>
        <w:rPr>
          <w:rStyle w:val="RefQuestion"/>
        </w:rPr>
        <w:lastRenderedPageBreak/>
        <w:t>3</w:t>
      </w:r>
      <w:r>
        <w:t>. Méthode des coûts à base d’activités</w:t>
      </w:r>
    </w:p>
    <w:p w14:paraId="539BABDA" w14:textId="77777777" w:rsidR="005D07A6" w:rsidRDefault="00F42774">
      <w:pPr>
        <w:pStyle w:val="TNiv2"/>
      </w:pPr>
      <w:r>
        <w:t>a) Calcul du coût des inducteurs</w:t>
      </w:r>
    </w:p>
    <w:p w14:paraId="161CBA37" w14:textId="77777777" w:rsidR="005D07A6" w:rsidRDefault="00F42774">
      <w:pPr>
        <w:pStyle w:val="CTEspDessous"/>
      </w:pPr>
      <w:r>
        <w:t>Les activités qui possèdent le même inducteur doivent être regroupées.</w:t>
      </w:r>
    </w:p>
    <w:tbl>
      <w:tblPr>
        <w:tblW w:w="7462" w:type="dxa"/>
        <w:tblInd w:w="1701" w:type="dxa"/>
        <w:tblLook w:val="04A0" w:firstRow="1" w:lastRow="0" w:firstColumn="1" w:lastColumn="0" w:noHBand="0" w:noVBand="1"/>
      </w:tblPr>
      <w:tblGrid>
        <w:gridCol w:w="2158"/>
        <w:gridCol w:w="989"/>
        <w:gridCol w:w="2256"/>
        <w:gridCol w:w="1070"/>
        <w:gridCol w:w="989"/>
      </w:tblGrid>
      <w:tr w:rsidR="005D07A6" w14:paraId="4E918AD8" w14:textId="77777777">
        <w:tc>
          <w:tcPr>
            <w:tcW w:w="163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72098A9" w14:textId="77777777" w:rsidR="005D07A6" w:rsidRDefault="00F42774">
            <w:pPr>
              <w:pStyle w:val="TA1"/>
              <w:jc w:val="center"/>
              <w:rPr>
                <w:rFonts w:eastAsiaTheme="minorEastAsia"/>
              </w:rPr>
            </w:pPr>
            <w:r>
              <w:rPr>
                <w:b/>
                <w:bCs/>
              </w:rPr>
              <w:t>Activité</w:t>
            </w:r>
          </w:p>
        </w:tc>
        <w:tc>
          <w:tcPr>
            <w:tcW w:w="75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88D6C93" w14:textId="77777777" w:rsidR="005D07A6" w:rsidRDefault="00F42774">
            <w:pPr>
              <w:pStyle w:val="TA1"/>
              <w:jc w:val="center"/>
              <w:rPr>
                <w:rFonts w:eastAsiaTheme="minorEastAsia"/>
              </w:rPr>
            </w:pPr>
            <w:r>
              <w:rPr>
                <w:b/>
                <w:bCs/>
              </w:rPr>
              <w:t>Montant</w:t>
            </w:r>
          </w:p>
        </w:tc>
        <w:tc>
          <w:tcPr>
            <w:tcW w:w="171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48B33CC" w14:textId="77777777" w:rsidR="005D07A6" w:rsidRDefault="00F42774">
            <w:pPr>
              <w:pStyle w:val="TA1"/>
              <w:jc w:val="center"/>
              <w:rPr>
                <w:rFonts w:eastAsiaTheme="minorEastAsia"/>
              </w:rPr>
            </w:pPr>
            <w:r>
              <w:rPr>
                <w:b/>
                <w:bCs/>
              </w:rPr>
              <w:t>Inducteur</w:t>
            </w:r>
          </w:p>
        </w:tc>
        <w:tc>
          <w:tcPr>
            <w:tcW w:w="75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B4EDE45" w14:textId="77777777" w:rsidR="005D07A6" w:rsidRDefault="00F42774">
            <w:pPr>
              <w:pStyle w:val="TA1"/>
              <w:jc w:val="center"/>
              <w:rPr>
                <w:rFonts w:eastAsiaTheme="minorEastAsia"/>
              </w:rPr>
            </w:pPr>
            <w:r>
              <w:rPr>
                <w:b/>
                <w:bCs/>
              </w:rPr>
              <w:t>Volume</w:t>
            </w:r>
          </w:p>
        </w:tc>
        <w:tc>
          <w:tcPr>
            <w:tcW w:w="75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BB1C9A4" w14:textId="77777777" w:rsidR="005D07A6" w:rsidRDefault="00F42774">
            <w:pPr>
              <w:pStyle w:val="TA1"/>
              <w:jc w:val="center"/>
              <w:rPr>
                <w:rFonts w:eastAsiaTheme="minorEastAsia"/>
              </w:rPr>
            </w:pPr>
            <w:r>
              <w:rPr>
                <w:b/>
                <w:bCs/>
              </w:rPr>
              <w:t>Coût</w:t>
            </w:r>
          </w:p>
        </w:tc>
      </w:tr>
      <w:tr w:rsidR="005D07A6" w14:paraId="7701D70B" w14:textId="77777777">
        <w:tc>
          <w:tcPr>
            <w:tcW w:w="163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0885A62" w14:textId="77777777" w:rsidR="005D07A6" w:rsidRDefault="00F42774">
            <w:pPr>
              <w:pStyle w:val="TA1"/>
              <w:rPr>
                <w:rFonts w:eastAsiaTheme="minorEastAsia"/>
              </w:rPr>
            </w:pPr>
            <w:r>
              <w:t>Relations fournisseurs</w:t>
            </w:r>
          </w:p>
        </w:tc>
        <w:tc>
          <w:tcPr>
            <w:tcW w:w="75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A003A3E" w14:textId="77777777" w:rsidR="005D07A6" w:rsidRDefault="00F42774">
            <w:pPr>
              <w:pStyle w:val="TA1"/>
              <w:jc w:val="center"/>
              <w:rPr>
                <w:rFonts w:eastAsiaTheme="minorEastAsia"/>
              </w:rPr>
            </w:pPr>
            <w:r>
              <w:t>18 000</w:t>
            </w:r>
          </w:p>
        </w:tc>
        <w:tc>
          <w:tcPr>
            <w:tcW w:w="171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5C731CC" w14:textId="77777777" w:rsidR="005D07A6" w:rsidRDefault="005D07A6"/>
        </w:tc>
        <w:tc>
          <w:tcPr>
            <w:tcW w:w="75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5CE0759" w14:textId="77777777" w:rsidR="005D07A6" w:rsidRDefault="005D07A6"/>
        </w:tc>
        <w:tc>
          <w:tcPr>
            <w:tcW w:w="75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BFCA991" w14:textId="77777777" w:rsidR="005D07A6" w:rsidRDefault="005D07A6"/>
        </w:tc>
      </w:tr>
      <w:tr w:rsidR="005D07A6" w14:paraId="1B4C0DD4" w14:textId="77777777">
        <w:tc>
          <w:tcPr>
            <w:tcW w:w="1635" w:type="dxa"/>
            <w:tcBorders>
              <w:top w:val="nil"/>
              <w:left w:val="single" w:sz="4" w:space="0" w:color="auto"/>
              <w:bottom w:val="nil"/>
              <w:right w:val="single" w:sz="4" w:space="0" w:color="auto"/>
            </w:tcBorders>
            <w:tcMar>
              <w:top w:w="0" w:type="dxa"/>
              <w:left w:w="2" w:type="dxa"/>
              <w:bottom w:w="0" w:type="dxa"/>
              <w:right w:w="2" w:type="dxa"/>
            </w:tcMar>
            <w:hideMark/>
          </w:tcPr>
          <w:p w14:paraId="1CA3CA1E" w14:textId="77777777" w:rsidR="005D07A6" w:rsidRDefault="00F42774">
            <w:pPr>
              <w:pStyle w:val="TA1"/>
              <w:rPr>
                <w:rFonts w:eastAsiaTheme="minorEastAsia"/>
              </w:rPr>
            </w:pPr>
            <w:r>
              <w:t>Suivi des stocks</w:t>
            </w:r>
          </w:p>
        </w:tc>
        <w:tc>
          <w:tcPr>
            <w:tcW w:w="75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28DA3F5" w14:textId="77777777" w:rsidR="005D07A6" w:rsidRDefault="00F42774">
            <w:pPr>
              <w:pStyle w:val="TA1"/>
              <w:jc w:val="center"/>
              <w:rPr>
                <w:rFonts w:eastAsiaTheme="minorEastAsia"/>
              </w:rPr>
            </w:pPr>
            <w:r>
              <w:t>80 000</w:t>
            </w:r>
          </w:p>
        </w:tc>
        <w:tc>
          <w:tcPr>
            <w:tcW w:w="1710" w:type="dxa"/>
            <w:tcBorders>
              <w:top w:val="nil"/>
              <w:left w:val="single" w:sz="4" w:space="0" w:color="auto"/>
              <w:bottom w:val="nil"/>
              <w:right w:val="single" w:sz="4" w:space="0" w:color="auto"/>
            </w:tcBorders>
            <w:tcMar>
              <w:top w:w="0" w:type="dxa"/>
              <w:left w:w="2" w:type="dxa"/>
              <w:bottom w:w="0" w:type="dxa"/>
              <w:right w:w="2" w:type="dxa"/>
            </w:tcMar>
            <w:hideMark/>
          </w:tcPr>
          <w:p w14:paraId="1ED7DDA6" w14:textId="77777777" w:rsidR="005D07A6" w:rsidRDefault="005D07A6"/>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5A5EF581" w14:textId="77777777" w:rsidR="005D07A6" w:rsidRDefault="005D07A6"/>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07FD4BA8" w14:textId="77777777" w:rsidR="005D07A6" w:rsidRDefault="005D07A6"/>
        </w:tc>
      </w:tr>
      <w:tr w:rsidR="005D07A6" w14:paraId="2F44977E" w14:textId="77777777">
        <w:tc>
          <w:tcPr>
            <w:tcW w:w="163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FBB2E6B" w14:textId="77777777" w:rsidR="005D07A6" w:rsidRDefault="005D07A6"/>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AF0A5BF" w14:textId="77777777" w:rsidR="005D07A6" w:rsidRDefault="00F42774">
            <w:pPr>
              <w:pStyle w:val="TA1"/>
              <w:jc w:val="center"/>
              <w:rPr>
                <w:rFonts w:eastAsiaTheme="minorEastAsia"/>
              </w:rPr>
            </w:pPr>
            <w:r>
              <w:t>98 000</w:t>
            </w:r>
          </w:p>
        </w:tc>
        <w:tc>
          <w:tcPr>
            <w:tcW w:w="171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D137949" w14:textId="77777777" w:rsidR="005D07A6" w:rsidRDefault="00F42774">
            <w:pPr>
              <w:pStyle w:val="TA1"/>
              <w:rPr>
                <w:rFonts w:eastAsiaTheme="minorEastAsia"/>
              </w:rPr>
            </w:pPr>
            <w:r>
              <w:t>Nombre de références</w:t>
            </w:r>
            <w:r>
              <w:rPr>
                <w:rStyle w:val="TaAppelNote"/>
              </w:rPr>
              <w:t>(1)</w:t>
            </w:r>
          </w:p>
        </w:tc>
        <w:tc>
          <w:tcPr>
            <w:tcW w:w="75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F20CABF" w14:textId="77777777" w:rsidR="005D07A6" w:rsidRDefault="00F42774">
            <w:pPr>
              <w:pStyle w:val="TA1"/>
              <w:jc w:val="right"/>
              <w:rPr>
                <w:rFonts w:eastAsiaTheme="minorEastAsia"/>
              </w:rPr>
            </w:pPr>
            <w:r>
              <w:t>7</w:t>
            </w:r>
          </w:p>
        </w:tc>
        <w:tc>
          <w:tcPr>
            <w:tcW w:w="75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80EEA70" w14:textId="77777777" w:rsidR="005D07A6" w:rsidRDefault="00F42774">
            <w:pPr>
              <w:pStyle w:val="TA1"/>
              <w:jc w:val="right"/>
              <w:rPr>
                <w:rFonts w:eastAsiaTheme="minorEastAsia"/>
              </w:rPr>
            </w:pPr>
            <w:r>
              <w:t>14 000</w:t>
            </w:r>
          </w:p>
        </w:tc>
      </w:tr>
      <w:tr w:rsidR="005D07A6" w14:paraId="78897EC1" w14:textId="77777777">
        <w:tc>
          <w:tcPr>
            <w:tcW w:w="16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5747737" w14:textId="77777777" w:rsidR="005D07A6" w:rsidRDefault="00F42774">
            <w:pPr>
              <w:pStyle w:val="TA1"/>
              <w:rPr>
                <w:rFonts w:eastAsiaTheme="minorEastAsia"/>
              </w:rPr>
            </w:pPr>
            <w:r>
              <w:t>Contrôle réception</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00E6CE6" w14:textId="77777777" w:rsidR="005D07A6" w:rsidRDefault="00F42774">
            <w:pPr>
              <w:pStyle w:val="TA1"/>
              <w:jc w:val="center"/>
              <w:rPr>
                <w:rFonts w:eastAsiaTheme="minorEastAsia"/>
              </w:rPr>
            </w:pPr>
            <w:r>
              <w:t>125 000</w:t>
            </w:r>
          </w:p>
        </w:tc>
        <w:tc>
          <w:tcPr>
            <w:tcW w:w="17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4746709" w14:textId="77777777" w:rsidR="005D07A6" w:rsidRDefault="00F42774">
            <w:pPr>
              <w:pStyle w:val="TA1"/>
              <w:rPr>
                <w:rFonts w:eastAsiaTheme="minorEastAsia"/>
              </w:rPr>
            </w:pPr>
            <w:r>
              <w:t>Nombre de lots réceptionnés</w:t>
            </w:r>
            <w:r>
              <w:rPr>
                <w:rStyle w:val="TaAppelNote"/>
              </w:rPr>
              <w:t>(2)</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0A16F94" w14:textId="77777777" w:rsidR="005D07A6" w:rsidRDefault="00F42774">
            <w:pPr>
              <w:pStyle w:val="TA1"/>
              <w:jc w:val="right"/>
              <w:rPr>
                <w:rFonts w:eastAsiaTheme="minorEastAsia"/>
              </w:rPr>
            </w:pPr>
            <w:r>
              <w:t>125</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C425A27" w14:textId="77777777" w:rsidR="005D07A6" w:rsidRDefault="00F42774">
            <w:pPr>
              <w:pStyle w:val="TA1"/>
              <w:jc w:val="right"/>
              <w:rPr>
                <w:rFonts w:eastAsiaTheme="minorEastAsia"/>
              </w:rPr>
            </w:pPr>
            <w:r>
              <w:t>1 000</w:t>
            </w:r>
          </w:p>
        </w:tc>
      </w:tr>
      <w:tr w:rsidR="005D07A6" w14:paraId="4A1A3AF3" w14:textId="77777777">
        <w:tc>
          <w:tcPr>
            <w:tcW w:w="16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DD0A43B" w14:textId="77777777" w:rsidR="005D07A6" w:rsidRDefault="00F42774">
            <w:pPr>
              <w:pStyle w:val="TA1"/>
              <w:rPr>
                <w:rFonts w:eastAsiaTheme="minorEastAsia"/>
              </w:rPr>
            </w:pPr>
            <w:r>
              <w:t>Logistique interne</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839377C" w14:textId="77777777" w:rsidR="005D07A6" w:rsidRDefault="00F42774">
            <w:pPr>
              <w:pStyle w:val="TA1"/>
              <w:jc w:val="center"/>
              <w:rPr>
                <w:rFonts w:eastAsiaTheme="minorEastAsia"/>
              </w:rPr>
            </w:pPr>
            <w:r>
              <w:t>59 500</w:t>
            </w:r>
          </w:p>
        </w:tc>
        <w:tc>
          <w:tcPr>
            <w:tcW w:w="17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61277E6" w14:textId="77777777" w:rsidR="005D07A6" w:rsidRDefault="00F42774">
            <w:pPr>
              <w:pStyle w:val="TA1"/>
              <w:rPr>
                <w:rFonts w:eastAsiaTheme="minorEastAsia"/>
              </w:rPr>
            </w:pPr>
            <w:r>
              <w:t>Nombre de manipulations</w:t>
            </w:r>
            <w:r>
              <w:rPr>
                <w:rStyle w:val="TaAppelNote"/>
              </w:rPr>
              <w:t>(3)</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D8E82F4" w14:textId="77777777" w:rsidR="005D07A6" w:rsidRDefault="00F42774">
            <w:pPr>
              <w:pStyle w:val="TA1"/>
              <w:jc w:val="right"/>
              <w:rPr>
                <w:rFonts w:eastAsiaTheme="minorEastAsia"/>
              </w:rPr>
            </w:pPr>
            <w:r>
              <w:t>595</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F42A0A8" w14:textId="77777777" w:rsidR="005D07A6" w:rsidRDefault="00F42774">
            <w:pPr>
              <w:pStyle w:val="TA1"/>
              <w:jc w:val="right"/>
              <w:rPr>
                <w:rFonts w:eastAsiaTheme="minorEastAsia"/>
              </w:rPr>
            </w:pPr>
            <w:r>
              <w:t>100</w:t>
            </w:r>
          </w:p>
        </w:tc>
      </w:tr>
      <w:tr w:rsidR="005D07A6" w14:paraId="6AD67D9E" w14:textId="77777777">
        <w:tc>
          <w:tcPr>
            <w:tcW w:w="163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B546806" w14:textId="77777777" w:rsidR="005D07A6" w:rsidRDefault="00F42774">
            <w:pPr>
              <w:pStyle w:val="TA1"/>
              <w:rPr>
                <w:rFonts w:eastAsiaTheme="minorEastAsia"/>
              </w:rPr>
            </w:pPr>
            <w:r>
              <w:t>Ordonnancement</w:t>
            </w:r>
          </w:p>
        </w:tc>
        <w:tc>
          <w:tcPr>
            <w:tcW w:w="75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0278FAA" w14:textId="77777777" w:rsidR="005D07A6" w:rsidRDefault="00F42774">
            <w:pPr>
              <w:pStyle w:val="TA1"/>
              <w:jc w:val="center"/>
              <w:rPr>
                <w:rFonts w:eastAsiaTheme="minorEastAsia"/>
              </w:rPr>
            </w:pPr>
            <w:r>
              <w:t>25 000</w:t>
            </w:r>
          </w:p>
        </w:tc>
        <w:tc>
          <w:tcPr>
            <w:tcW w:w="171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8BF2C60" w14:textId="77777777" w:rsidR="005D07A6" w:rsidRDefault="005D07A6"/>
        </w:tc>
        <w:tc>
          <w:tcPr>
            <w:tcW w:w="75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9161A85" w14:textId="77777777" w:rsidR="005D07A6" w:rsidRDefault="005D07A6"/>
        </w:tc>
        <w:tc>
          <w:tcPr>
            <w:tcW w:w="75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0042A45" w14:textId="77777777" w:rsidR="005D07A6" w:rsidRDefault="005D07A6"/>
        </w:tc>
      </w:tr>
      <w:tr w:rsidR="005D07A6" w14:paraId="42AD742C" w14:textId="77777777">
        <w:tc>
          <w:tcPr>
            <w:tcW w:w="1635" w:type="dxa"/>
            <w:tcBorders>
              <w:top w:val="nil"/>
              <w:left w:val="single" w:sz="4" w:space="0" w:color="auto"/>
              <w:bottom w:val="nil"/>
              <w:right w:val="single" w:sz="4" w:space="0" w:color="auto"/>
            </w:tcBorders>
            <w:tcMar>
              <w:top w:w="0" w:type="dxa"/>
              <w:left w:w="2" w:type="dxa"/>
              <w:bottom w:w="0" w:type="dxa"/>
              <w:right w:w="2" w:type="dxa"/>
            </w:tcMar>
            <w:hideMark/>
          </w:tcPr>
          <w:p w14:paraId="419E0D9C" w14:textId="77777777" w:rsidR="005D07A6" w:rsidRDefault="00F42774">
            <w:pPr>
              <w:pStyle w:val="TA1"/>
              <w:rPr>
                <w:rFonts w:eastAsiaTheme="minorEastAsia"/>
              </w:rPr>
            </w:pPr>
            <w:r>
              <w:t>Production</w:t>
            </w:r>
          </w:p>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677CF336" w14:textId="77777777" w:rsidR="005D07A6" w:rsidRDefault="00F42774">
            <w:pPr>
              <w:pStyle w:val="TA1"/>
              <w:jc w:val="center"/>
              <w:rPr>
                <w:rFonts w:eastAsiaTheme="minorEastAsia"/>
              </w:rPr>
            </w:pPr>
            <w:r>
              <w:t>200 000</w:t>
            </w:r>
          </w:p>
        </w:tc>
        <w:tc>
          <w:tcPr>
            <w:tcW w:w="1710" w:type="dxa"/>
            <w:tcBorders>
              <w:top w:val="nil"/>
              <w:left w:val="single" w:sz="4" w:space="0" w:color="auto"/>
              <w:bottom w:val="nil"/>
              <w:right w:val="single" w:sz="4" w:space="0" w:color="auto"/>
            </w:tcBorders>
            <w:tcMar>
              <w:top w:w="0" w:type="dxa"/>
              <w:left w:w="2" w:type="dxa"/>
              <w:bottom w:w="0" w:type="dxa"/>
              <w:right w:w="2" w:type="dxa"/>
            </w:tcMar>
            <w:hideMark/>
          </w:tcPr>
          <w:p w14:paraId="3F8B3AC8" w14:textId="77777777" w:rsidR="005D07A6" w:rsidRDefault="005D07A6"/>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5B5ACE2A" w14:textId="77777777" w:rsidR="005D07A6" w:rsidRDefault="005D07A6"/>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45A41459" w14:textId="77777777" w:rsidR="005D07A6" w:rsidRDefault="005D07A6"/>
        </w:tc>
      </w:tr>
      <w:tr w:rsidR="005D07A6" w14:paraId="0806006B" w14:textId="77777777">
        <w:tc>
          <w:tcPr>
            <w:tcW w:w="1635" w:type="dxa"/>
            <w:tcBorders>
              <w:top w:val="nil"/>
              <w:left w:val="single" w:sz="4" w:space="0" w:color="auto"/>
              <w:bottom w:val="nil"/>
              <w:right w:val="single" w:sz="4" w:space="0" w:color="auto"/>
            </w:tcBorders>
            <w:tcMar>
              <w:top w:w="0" w:type="dxa"/>
              <w:left w:w="2" w:type="dxa"/>
              <w:bottom w:w="0" w:type="dxa"/>
              <w:right w:w="2" w:type="dxa"/>
            </w:tcMar>
            <w:hideMark/>
          </w:tcPr>
          <w:p w14:paraId="134E8DA9" w14:textId="77777777" w:rsidR="005D07A6" w:rsidRDefault="00F42774">
            <w:pPr>
              <w:pStyle w:val="TA1"/>
              <w:rPr>
                <w:rFonts w:eastAsiaTheme="minorEastAsia"/>
              </w:rPr>
            </w:pPr>
            <w:r>
              <w:t>Contrôle</w:t>
            </w:r>
          </w:p>
        </w:tc>
        <w:tc>
          <w:tcPr>
            <w:tcW w:w="75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79D3F6C" w14:textId="77777777" w:rsidR="005D07A6" w:rsidRDefault="00F42774">
            <w:pPr>
              <w:pStyle w:val="TA1"/>
              <w:jc w:val="center"/>
              <w:rPr>
                <w:rFonts w:eastAsiaTheme="minorEastAsia"/>
              </w:rPr>
            </w:pPr>
            <w:r>
              <w:t>25 000</w:t>
            </w:r>
          </w:p>
        </w:tc>
        <w:tc>
          <w:tcPr>
            <w:tcW w:w="1710" w:type="dxa"/>
            <w:tcBorders>
              <w:top w:val="nil"/>
              <w:left w:val="single" w:sz="4" w:space="0" w:color="auto"/>
              <w:bottom w:val="nil"/>
              <w:right w:val="single" w:sz="4" w:space="0" w:color="auto"/>
            </w:tcBorders>
            <w:tcMar>
              <w:top w:w="0" w:type="dxa"/>
              <w:left w:w="2" w:type="dxa"/>
              <w:bottom w:w="0" w:type="dxa"/>
              <w:right w:w="2" w:type="dxa"/>
            </w:tcMar>
            <w:hideMark/>
          </w:tcPr>
          <w:p w14:paraId="7696E075" w14:textId="77777777" w:rsidR="005D07A6" w:rsidRDefault="005D07A6"/>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152DDA9F" w14:textId="77777777" w:rsidR="005D07A6" w:rsidRDefault="005D07A6"/>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1B28D1D1" w14:textId="77777777" w:rsidR="005D07A6" w:rsidRDefault="005D07A6"/>
        </w:tc>
      </w:tr>
      <w:tr w:rsidR="005D07A6" w14:paraId="234D2B15" w14:textId="77777777">
        <w:tc>
          <w:tcPr>
            <w:tcW w:w="163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94AB2E7" w14:textId="77777777" w:rsidR="005D07A6" w:rsidRDefault="005D07A6"/>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1BE444C" w14:textId="77777777" w:rsidR="005D07A6" w:rsidRDefault="00F42774">
            <w:pPr>
              <w:pStyle w:val="TA1"/>
              <w:jc w:val="center"/>
              <w:rPr>
                <w:rFonts w:eastAsiaTheme="minorEastAsia"/>
              </w:rPr>
            </w:pPr>
            <w:r>
              <w:t>250 000</w:t>
            </w:r>
          </w:p>
        </w:tc>
        <w:tc>
          <w:tcPr>
            <w:tcW w:w="171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B4F0588" w14:textId="77777777" w:rsidR="005D07A6" w:rsidRDefault="00F42774">
            <w:pPr>
              <w:pStyle w:val="TA1"/>
              <w:rPr>
                <w:rFonts w:eastAsiaTheme="minorEastAsia"/>
              </w:rPr>
            </w:pPr>
            <w:r>
              <w:t>Nombre de lots fabriqués</w:t>
            </w:r>
            <w:r>
              <w:rPr>
                <w:rStyle w:val="TaAppelNote"/>
              </w:rPr>
              <w:t>(4)</w:t>
            </w:r>
          </w:p>
        </w:tc>
        <w:tc>
          <w:tcPr>
            <w:tcW w:w="75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193F7DE" w14:textId="77777777" w:rsidR="005D07A6" w:rsidRDefault="00F42774">
            <w:pPr>
              <w:pStyle w:val="TA1"/>
              <w:jc w:val="right"/>
              <w:rPr>
                <w:rFonts w:eastAsiaTheme="minorEastAsia"/>
              </w:rPr>
            </w:pPr>
            <w:r>
              <w:t>125</w:t>
            </w:r>
          </w:p>
        </w:tc>
        <w:tc>
          <w:tcPr>
            <w:tcW w:w="75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498C1BB" w14:textId="77777777" w:rsidR="005D07A6" w:rsidRDefault="00F42774">
            <w:pPr>
              <w:pStyle w:val="TA1"/>
              <w:jc w:val="right"/>
              <w:rPr>
                <w:rFonts w:eastAsiaTheme="minorEastAsia"/>
              </w:rPr>
            </w:pPr>
            <w:r>
              <w:t>2 000</w:t>
            </w:r>
          </w:p>
        </w:tc>
      </w:tr>
      <w:tr w:rsidR="005D07A6" w14:paraId="2F14BA05" w14:textId="77777777">
        <w:tc>
          <w:tcPr>
            <w:tcW w:w="16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27A79C0" w14:textId="77777777" w:rsidR="005D07A6" w:rsidRDefault="00F42774">
            <w:pPr>
              <w:pStyle w:val="TA1"/>
              <w:rPr>
                <w:rFonts w:eastAsiaTheme="minorEastAsia"/>
              </w:rPr>
            </w:pPr>
            <w:r>
              <w:t>Conception</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F9DB2A3" w14:textId="77777777" w:rsidR="005D07A6" w:rsidRDefault="00F42774">
            <w:pPr>
              <w:pStyle w:val="TA1"/>
              <w:jc w:val="center"/>
              <w:rPr>
                <w:rFonts w:eastAsiaTheme="minorEastAsia"/>
              </w:rPr>
            </w:pPr>
            <w:r>
              <w:t>300 000</w:t>
            </w:r>
          </w:p>
        </w:tc>
        <w:tc>
          <w:tcPr>
            <w:tcW w:w="17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FDAE2AB" w14:textId="77777777" w:rsidR="005D07A6" w:rsidRDefault="00F42774">
            <w:pPr>
              <w:pStyle w:val="TA1"/>
              <w:rPr>
                <w:rFonts w:eastAsiaTheme="minorEastAsia"/>
              </w:rPr>
            </w:pPr>
            <w:r>
              <w:t>Nombre de modèles</w:t>
            </w:r>
            <w:r>
              <w:rPr>
                <w:rStyle w:val="TaAppelNote"/>
              </w:rPr>
              <w:t>(5)</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B369096" w14:textId="77777777" w:rsidR="005D07A6" w:rsidRDefault="00F42774">
            <w:pPr>
              <w:pStyle w:val="TA1"/>
              <w:jc w:val="right"/>
              <w:rPr>
                <w:rFonts w:eastAsiaTheme="minorEastAsia"/>
              </w:rPr>
            </w:pPr>
            <w:r>
              <w:t>3</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755BBDB" w14:textId="77777777" w:rsidR="005D07A6" w:rsidRDefault="00F42774">
            <w:pPr>
              <w:pStyle w:val="TA1"/>
              <w:jc w:val="right"/>
              <w:rPr>
                <w:rFonts w:eastAsiaTheme="minorEastAsia"/>
              </w:rPr>
            </w:pPr>
            <w:r>
              <w:t>100 000</w:t>
            </w:r>
          </w:p>
        </w:tc>
      </w:tr>
      <w:tr w:rsidR="005D07A6" w14:paraId="1C286A30" w14:textId="77777777">
        <w:tc>
          <w:tcPr>
            <w:tcW w:w="16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931163A" w14:textId="77777777" w:rsidR="005D07A6" w:rsidRDefault="00F42774">
            <w:pPr>
              <w:pStyle w:val="TA1"/>
              <w:rPr>
                <w:rFonts w:eastAsiaTheme="minorEastAsia"/>
              </w:rPr>
            </w:pPr>
            <w:r>
              <w:t>Ordonnancement</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B2E82B0" w14:textId="77777777" w:rsidR="005D07A6" w:rsidRDefault="00F42774">
            <w:pPr>
              <w:pStyle w:val="TA1"/>
              <w:jc w:val="center"/>
              <w:rPr>
                <w:rFonts w:eastAsiaTheme="minorEastAsia"/>
              </w:rPr>
            </w:pPr>
            <w:r>
              <w:t>213 000</w:t>
            </w:r>
          </w:p>
        </w:tc>
        <w:tc>
          <w:tcPr>
            <w:tcW w:w="17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2588F0D" w14:textId="77777777" w:rsidR="005D07A6" w:rsidRDefault="00F42774">
            <w:pPr>
              <w:pStyle w:val="TA1"/>
              <w:rPr>
                <w:rFonts w:eastAsiaTheme="minorEastAsia"/>
              </w:rPr>
            </w:pPr>
            <w:r>
              <w:t>Poids des composants</w:t>
            </w:r>
            <w:r>
              <w:rPr>
                <w:rStyle w:val="TaAppelNote"/>
              </w:rPr>
              <w:t>(6)</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A74BBF7" w14:textId="77777777" w:rsidR="005D07A6" w:rsidRDefault="00F42774">
            <w:pPr>
              <w:pStyle w:val="TA1"/>
              <w:jc w:val="right"/>
              <w:rPr>
                <w:rFonts w:eastAsiaTheme="minorEastAsia"/>
              </w:rPr>
            </w:pPr>
            <w:r>
              <w:t>106 500</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B5BCF31" w14:textId="77777777" w:rsidR="005D07A6" w:rsidRDefault="00F42774">
            <w:pPr>
              <w:pStyle w:val="TA1"/>
              <w:jc w:val="right"/>
              <w:rPr>
                <w:rFonts w:eastAsiaTheme="minorEastAsia"/>
              </w:rPr>
            </w:pPr>
            <w:r>
              <w:t>2</w:t>
            </w:r>
          </w:p>
        </w:tc>
      </w:tr>
      <w:tr w:rsidR="005D07A6" w14:paraId="274A7B79" w14:textId="77777777">
        <w:tc>
          <w:tcPr>
            <w:tcW w:w="16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57E6FAE" w14:textId="77777777" w:rsidR="005D07A6" w:rsidRDefault="00F42774">
            <w:pPr>
              <w:pStyle w:val="TA1"/>
              <w:rPr>
                <w:rFonts w:eastAsiaTheme="minorEastAsia"/>
              </w:rPr>
            </w:pPr>
            <w:r>
              <w:t>Production</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E8F418C" w14:textId="77777777" w:rsidR="005D07A6" w:rsidRDefault="00F42774">
            <w:pPr>
              <w:pStyle w:val="TA1"/>
              <w:jc w:val="center"/>
              <w:rPr>
                <w:rFonts w:eastAsiaTheme="minorEastAsia"/>
              </w:rPr>
            </w:pPr>
            <w:r>
              <w:t>600 000</w:t>
            </w:r>
          </w:p>
        </w:tc>
        <w:tc>
          <w:tcPr>
            <w:tcW w:w="17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8D281D0" w14:textId="77777777" w:rsidR="005D07A6" w:rsidRDefault="00F42774">
            <w:pPr>
              <w:pStyle w:val="TA1"/>
              <w:rPr>
                <w:rFonts w:eastAsiaTheme="minorEastAsia"/>
              </w:rPr>
            </w:pPr>
            <w:r>
              <w:t>Temps machine</w:t>
            </w:r>
            <w:r>
              <w:rPr>
                <w:rStyle w:val="TaAppelNote"/>
              </w:rPr>
              <w:t>(6)</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ECAB60C" w14:textId="77777777" w:rsidR="005D07A6" w:rsidRDefault="00F42774">
            <w:pPr>
              <w:pStyle w:val="TA1"/>
              <w:jc w:val="right"/>
              <w:rPr>
                <w:rFonts w:eastAsiaTheme="minorEastAsia"/>
              </w:rPr>
            </w:pPr>
            <w:r>
              <w:t>200 000</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1B6A7A7" w14:textId="77777777" w:rsidR="005D07A6" w:rsidRDefault="00F42774">
            <w:pPr>
              <w:pStyle w:val="TA1"/>
              <w:jc w:val="right"/>
              <w:rPr>
                <w:rFonts w:eastAsiaTheme="minorEastAsia"/>
              </w:rPr>
            </w:pPr>
            <w:r>
              <w:t>3</w:t>
            </w:r>
          </w:p>
        </w:tc>
      </w:tr>
      <w:tr w:rsidR="005D07A6" w14:paraId="45F1F717" w14:textId="77777777">
        <w:tc>
          <w:tcPr>
            <w:tcW w:w="163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F6FA792" w14:textId="77777777" w:rsidR="005D07A6" w:rsidRDefault="00F42774">
            <w:pPr>
              <w:pStyle w:val="TA1"/>
              <w:rPr>
                <w:rFonts w:eastAsiaTheme="minorEastAsia"/>
              </w:rPr>
            </w:pPr>
            <w:r>
              <w:t>Administration générale</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97C8B58" w14:textId="77777777" w:rsidR="005D07A6" w:rsidRDefault="00F42774">
            <w:pPr>
              <w:pStyle w:val="TA1"/>
              <w:jc w:val="center"/>
              <w:rPr>
                <w:rFonts w:eastAsiaTheme="minorEastAsia"/>
              </w:rPr>
            </w:pPr>
            <w:r>
              <w:t>164 550</w:t>
            </w:r>
          </w:p>
        </w:tc>
        <w:tc>
          <w:tcPr>
            <w:tcW w:w="17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9FA79D3" w14:textId="77777777" w:rsidR="005D07A6" w:rsidRDefault="00F42774">
            <w:pPr>
              <w:pStyle w:val="TA1"/>
              <w:rPr>
                <w:rFonts w:eastAsiaTheme="minorEastAsia"/>
              </w:rPr>
            </w:pPr>
            <w:r>
              <w:t>Coût ajouté</w:t>
            </w:r>
            <w:r>
              <w:rPr>
                <w:rStyle w:val="TaAppelNote"/>
              </w:rPr>
              <w:t>(7)</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92058BD" w14:textId="77777777" w:rsidR="005D07A6" w:rsidRDefault="00F42774">
            <w:pPr>
              <w:pStyle w:val="TA1"/>
              <w:jc w:val="right"/>
              <w:rPr>
                <w:rFonts w:eastAsiaTheme="minorEastAsia"/>
              </w:rPr>
            </w:pPr>
            <w:r>
              <w:t>1 645 500</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8F91045" w14:textId="77777777" w:rsidR="005D07A6" w:rsidRDefault="00F42774">
            <w:pPr>
              <w:pStyle w:val="TA1"/>
              <w:jc w:val="right"/>
              <w:rPr>
                <w:rFonts w:eastAsiaTheme="minorEastAsia"/>
              </w:rPr>
            </w:pPr>
            <w:r>
              <w:t>0,1</w:t>
            </w:r>
          </w:p>
        </w:tc>
      </w:tr>
    </w:tbl>
    <w:p w14:paraId="6EA106E4" w14:textId="77777777" w:rsidR="005D07A6" w:rsidRDefault="00F42774">
      <w:pPr>
        <w:pStyle w:val="TA3"/>
        <w:rPr>
          <w:rFonts w:eastAsiaTheme="minorEastAsia"/>
        </w:rPr>
      </w:pPr>
      <w:r>
        <w:t>1. 7 références (de A à G).</w:t>
      </w:r>
    </w:p>
    <w:p w14:paraId="32925B5B" w14:textId="77777777" w:rsidR="005D07A6" w:rsidRDefault="00F42774">
      <w:pPr>
        <w:pStyle w:val="TA3"/>
      </w:pPr>
      <w:r>
        <w:t>2. Nombre de lots reçus :</w:t>
      </w:r>
    </w:p>
    <w:p w14:paraId="33C775B8" w14:textId="77777777" w:rsidR="005D07A6" w:rsidRDefault="00F42774">
      <w:pPr>
        <w:pStyle w:val="TA3"/>
      </w:pPr>
      <w:r>
        <w:t>A : (40 000 × 0,1 + 30 000 × 0,2 + 15 000 × 0,1)/500 = 23</w:t>
      </w:r>
    </w:p>
    <w:p w14:paraId="05FBEE83" w14:textId="77777777" w:rsidR="005D07A6" w:rsidRDefault="00F42774">
      <w:pPr>
        <w:pStyle w:val="TA3"/>
      </w:pPr>
      <w:r>
        <w:t>B : 15 000 × 0,3/500 = 9</w:t>
      </w:r>
    </w:p>
    <w:p w14:paraId="2CF9C2D3" w14:textId="77777777" w:rsidR="005D07A6" w:rsidRDefault="00F42774">
      <w:pPr>
        <w:pStyle w:val="TA3"/>
      </w:pPr>
      <w:r>
        <w:t>C : (30 000 × 0,5 + 15 000 × 0,6)/1 000 = 24</w:t>
      </w:r>
    </w:p>
    <w:p w14:paraId="04B3EB14" w14:textId="77777777" w:rsidR="005D07A6" w:rsidRDefault="00F42774">
      <w:pPr>
        <w:pStyle w:val="TA3"/>
      </w:pPr>
      <w:r>
        <w:t>D : (40 000 × 0,2 + 15 000 × 0,3)/500 = 25</w:t>
      </w:r>
    </w:p>
    <w:p w14:paraId="054E0A41" w14:textId="77777777" w:rsidR="005D07A6" w:rsidRDefault="00F42774">
      <w:pPr>
        <w:pStyle w:val="TA3"/>
      </w:pPr>
      <w:r>
        <w:t>E : (40 000 × 0,4 + 30 000 × 0,6)/2 000 = 17</w:t>
      </w:r>
    </w:p>
    <w:p w14:paraId="1DEC04A1" w14:textId="77777777" w:rsidR="005D07A6" w:rsidRDefault="00F42774">
      <w:pPr>
        <w:pStyle w:val="TA3"/>
      </w:pPr>
      <w:r>
        <w:t>F : 40 000 × 0,5/2 000 = 10</w:t>
      </w:r>
    </w:p>
    <w:p w14:paraId="027A63FE" w14:textId="77777777" w:rsidR="005D07A6" w:rsidRDefault="00F42774">
      <w:pPr>
        <w:pStyle w:val="TA3"/>
      </w:pPr>
      <w:r>
        <w:t>G : (40 000 + 30 000 + 15 000)/5 000 = 17</w:t>
      </w:r>
    </w:p>
    <w:p w14:paraId="2C5AB009" w14:textId="77777777" w:rsidR="005D07A6" w:rsidRDefault="00F42774">
      <w:pPr>
        <w:pStyle w:val="TA3"/>
      </w:pPr>
      <w:r>
        <w:t>Total = 125</w:t>
      </w:r>
    </w:p>
    <w:p w14:paraId="2E201BEB" w14:textId="77777777" w:rsidR="005D07A6" w:rsidRDefault="00F42774">
      <w:pPr>
        <w:pStyle w:val="TA3"/>
      </w:pPr>
      <w:r>
        <w:t>3. Nombre de manipulations :</w:t>
      </w:r>
    </w:p>
    <w:p w14:paraId="20DBDE44" w14:textId="77777777" w:rsidR="005D07A6" w:rsidRDefault="00F42774">
      <w:pPr>
        <w:pStyle w:val="TA3"/>
      </w:pPr>
      <w:r>
        <w:t>X : (10 + 20)5 = 150</w:t>
      </w:r>
    </w:p>
    <w:p w14:paraId="2DEA8CA7" w14:textId="77777777" w:rsidR="005D07A6" w:rsidRDefault="00F42774">
      <w:pPr>
        <w:pStyle w:val="TA3"/>
      </w:pPr>
      <w:r>
        <w:t>Y : (5 + 15 + 10)4 = 120</w:t>
      </w:r>
    </w:p>
    <w:p w14:paraId="1A22B41E" w14:textId="77777777" w:rsidR="005D07A6" w:rsidRDefault="00F42774">
      <w:pPr>
        <w:pStyle w:val="TA3"/>
      </w:pPr>
      <w:r>
        <w:t>Z : (5 + 10 + 50)5 = 325</w:t>
      </w:r>
    </w:p>
    <w:p w14:paraId="4064A762" w14:textId="77777777" w:rsidR="005D07A6" w:rsidRDefault="00F42774">
      <w:pPr>
        <w:pStyle w:val="TA3"/>
      </w:pPr>
      <w:r>
        <w:t>Total = 595</w:t>
      </w:r>
    </w:p>
    <w:p w14:paraId="70763530" w14:textId="77777777" w:rsidR="005D07A6" w:rsidRDefault="00F42774">
      <w:pPr>
        <w:pStyle w:val="TA3"/>
      </w:pPr>
      <w:r>
        <w:t>4. Nombre de lots fabriqués :</w:t>
      </w:r>
    </w:p>
    <w:p w14:paraId="01E3636F" w14:textId="77777777" w:rsidR="005D07A6" w:rsidRDefault="00F42774">
      <w:pPr>
        <w:pStyle w:val="TA3"/>
      </w:pPr>
      <w:r>
        <w:t>X : 10 + 20 = 30</w:t>
      </w:r>
    </w:p>
    <w:p w14:paraId="0B6A4982" w14:textId="77777777" w:rsidR="005D07A6" w:rsidRDefault="00F42774">
      <w:pPr>
        <w:pStyle w:val="TA3"/>
      </w:pPr>
      <w:r>
        <w:t>Y : 5 + 15 + 10 = 30</w:t>
      </w:r>
    </w:p>
    <w:p w14:paraId="0792ABD7" w14:textId="77777777" w:rsidR="005D07A6" w:rsidRDefault="00F42774">
      <w:pPr>
        <w:pStyle w:val="TA3"/>
      </w:pPr>
      <w:r>
        <w:t>Z : 5 + 10 + 50 = 65</w:t>
      </w:r>
    </w:p>
    <w:p w14:paraId="20D716A3" w14:textId="77777777" w:rsidR="005D07A6" w:rsidRDefault="00F42774">
      <w:pPr>
        <w:pStyle w:val="TA3"/>
      </w:pPr>
      <w:r>
        <w:t>Total = 125</w:t>
      </w:r>
    </w:p>
    <w:p w14:paraId="768C36FE" w14:textId="77777777" w:rsidR="005D07A6" w:rsidRDefault="00F42774">
      <w:pPr>
        <w:pStyle w:val="TA3"/>
      </w:pPr>
      <w:r>
        <w:t>5. Trois produits.</w:t>
      </w:r>
    </w:p>
    <w:p w14:paraId="7C26A807" w14:textId="77777777" w:rsidR="005D07A6" w:rsidRDefault="00F42774">
      <w:pPr>
        <w:pStyle w:val="TA3"/>
      </w:pPr>
      <w:r>
        <w:t>6. </w:t>
      </w:r>
      <w:r>
        <w:rPr>
          <w:rStyle w:val="renvoi"/>
        </w:rPr>
        <w:t>Voir question 1</w:t>
      </w:r>
      <w:r>
        <w:t>.</w:t>
      </w:r>
    </w:p>
    <w:p w14:paraId="72091B30" w14:textId="77777777" w:rsidR="005D07A6" w:rsidRDefault="00F42774">
      <w:pPr>
        <w:pStyle w:val="TA3"/>
      </w:pPr>
      <w:r>
        <w:t>7. ∑ charges indirectes sauf administration :</w:t>
      </w:r>
    </w:p>
    <w:p w14:paraId="6264EA02" w14:textId="77777777" w:rsidR="005D07A6" w:rsidRDefault="00F42774">
      <w:pPr>
        <w:pStyle w:val="TA3"/>
      </w:pPr>
      <w:r>
        <w:t>282 500 + 525 000 + 813 000 + 25 000</w:t>
      </w:r>
    </w:p>
    <w:p w14:paraId="54724C61" w14:textId="77777777" w:rsidR="005D07A6" w:rsidRDefault="00F42774">
      <w:pPr>
        <w:pStyle w:val="TNiv2"/>
      </w:pPr>
      <w:r>
        <w:t>b) Étude préalable de l’inducteur référence</w:t>
      </w:r>
    </w:p>
    <w:p w14:paraId="3FE91688" w14:textId="77777777" w:rsidR="005D07A6" w:rsidRDefault="00F42774">
      <w:pPr>
        <w:pStyle w:val="CTEspDessous"/>
      </w:pPr>
      <w:r>
        <w:t xml:space="preserve">Le coût d’une référence est de 14 000 €. Il faut calculer le coût par unité de composant consommé. D’autres solutions sont envisageables, comme le montre le complément proposé en question 5. </w:t>
      </w:r>
      <w:r>
        <w:rPr>
          <w:b/>
          <w:bCs/>
        </w:rPr>
        <w:t>Il faut donc bien lire les sujets pour répondre convenablement aux exigences des questions.</w:t>
      </w:r>
    </w:p>
    <w:tbl>
      <w:tblPr>
        <w:tblW w:w="7462" w:type="dxa"/>
        <w:tblInd w:w="1701" w:type="dxa"/>
        <w:tblLook w:val="04A0" w:firstRow="1" w:lastRow="0" w:firstColumn="1" w:lastColumn="0" w:noHBand="0" w:noVBand="1"/>
      </w:tblPr>
      <w:tblGrid>
        <w:gridCol w:w="1481"/>
        <w:gridCol w:w="1000"/>
        <w:gridCol w:w="1000"/>
        <w:gridCol w:w="1000"/>
        <w:gridCol w:w="1000"/>
        <w:gridCol w:w="1981"/>
      </w:tblGrid>
      <w:tr w:rsidR="005D07A6" w14:paraId="103341AA" w14:textId="77777777">
        <w:tc>
          <w:tcPr>
            <w:tcW w:w="1110" w:type="dxa"/>
            <w:tcBorders>
              <w:top w:val="nil"/>
              <w:left w:val="nil"/>
              <w:bottom w:val="single" w:sz="4" w:space="0" w:color="auto"/>
              <w:right w:val="single" w:sz="4" w:space="0" w:color="auto"/>
            </w:tcBorders>
            <w:tcMar>
              <w:top w:w="0" w:type="dxa"/>
              <w:left w:w="2" w:type="dxa"/>
              <w:bottom w:w="0" w:type="dxa"/>
              <w:right w:w="2" w:type="dxa"/>
            </w:tcMar>
            <w:hideMark/>
          </w:tcPr>
          <w:p w14:paraId="6C122B75" w14:textId="77777777" w:rsidR="005D07A6" w:rsidRDefault="005D07A6"/>
        </w:tc>
        <w:tc>
          <w:tcPr>
            <w:tcW w:w="75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01A0F5C" w14:textId="77777777" w:rsidR="005D07A6" w:rsidRDefault="00F42774">
            <w:pPr>
              <w:pStyle w:val="TA1"/>
              <w:jc w:val="center"/>
              <w:rPr>
                <w:rFonts w:eastAsiaTheme="minorEastAsia"/>
              </w:rPr>
            </w:pPr>
            <w:r>
              <w:rPr>
                <w:b/>
                <w:bCs/>
              </w:rPr>
              <w:t>X</w:t>
            </w:r>
          </w:p>
        </w:tc>
        <w:tc>
          <w:tcPr>
            <w:tcW w:w="75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2CBE69B" w14:textId="77777777" w:rsidR="005D07A6" w:rsidRDefault="00F42774">
            <w:pPr>
              <w:pStyle w:val="TA1"/>
              <w:jc w:val="center"/>
              <w:rPr>
                <w:rFonts w:eastAsiaTheme="minorEastAsia"/>
              </w:rPr>
            </w:pPr>
            <w:r>
              <w:rPr>
                <w:b/>
                <w:bCs/>
              </w:rPr>
              <w:t>Y</w:t>
            </w:r>
          </w:p>
        </w:tc>
        <w:tc>
          <w:tcPr>
            <w:tcW w:w="75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35AAC43" w14:textId="77777777" w:rsidR="005D07A6" w:rsidRDefault="00F42774">
            <w:pPr>
              <w:pStyle w:val="TA1"/>
              <w:jc w:val="center"/>
              <w:rPr>
                <w:rFonts w:eastAsiaTheme="minorEastAsia"/>
              </w:rPr>
            </w:pPr>
            <w:r>
              <w:rPr>
                <w:b/>
                <w:bCs/>
              </w:rPr>
              <w:t>Z</w:t>
            </w:r>
          </w:p>
        </w:tc>
        <w:tc>
          <w:tcPr>
            <w:tcW w:w="750" w:type="dxa"/>
            <w:tcBorders>
              <w:top w:val="nil"/>
              <w:left w:val="single" w:sz="4" w:space="0" w:color="auto"/>
              <w:bottom w:val="single" w:sz="4" w:space="0" w:color="auto"/>
              <w:right w:val="nil"/>
            </w:tcBorders>
            <w:tcMar>
              <w:top w:w="0" w:type="dxa"/>
              <w:left w:w="2" w:type="dxa"/>
              <w:bottom w:w="0" w:type="dxa"/>
              <w:right w:w="2" w:type="dxa"/>
            </w:tcMar>
            <w:hideMark/>
          </w:tcPr>
          <w:p w14:paraId="788F6C04" w14:textId="77777777" w:rsidR="005D07A6" w:rsidRDefault="005D07A6"/>
        </w:tc>
        <w:tc>
          <w:tcPr>
            <w:tcW w:w="1485" w:type="dxa"/>
            <w:tcBorders>
              <w:top w:val="nil"/>
              <w:left w:val="nil"/>
              <w:bottom w:val="single" w:sz="4" w:space="0" w:color="auto"/>
              <w:right w:val="nil"/>
            </w:tcBorders>
            <w:tcMar>
              <w:top w:w="0" w:type="dxa"/>
              <w:left w:w="2" w:type="dxa"/>
              <w:bottom w:w="0" w:type="dxa"/>
              <w:right w:w="2" w:type="dxa"/>
            </w:tcMar>
            <w:hideMark/>
          </w:tcPr>
          <w:p w14:paraId="312FC207" w14:textId="77777777" w:rsidR="005D07A6" w:rsidRDefault="005D07A6"/>
        </w:tc>
      </w:tr>
      <w:tr w:rsidR="005D07A6" w14:paraId="34CA60F9" w14:textId="77777777">
        <w:tc>
          <w:tcPr>
            <w:tcW w:w="11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96AD64D" w14:textId="77777777" w:rsidR="005D07A6" w:rsidRDefault="00F42774">
            <w:pPr>
              <w:pStyle w:val="TA1"/>
              <w:rPr>
                <w:rFonts w:eastAsiaTheme="minorEastAsia"/>
              </w:rPr>
            </w:pPr>
            <w:r>
              <w:t>Productions</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2ABFCA6" w14:textId="77777777" w:rsidR="005D07A6" w:rsidRDefault="00F42774">
            <w:pPr>
              <w:pStyle w:val="TA1"/>
              <w:jc w:val="center"/>
              <w:rPr>
                <w:rFonts w:eastAsiaTheme="minorEastAsia"/>
              </w:rPr>
            </w:pPr>
            <w:r>
              <w:t>40 000</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B083A62" w14:textId="77777777" w:rsidR="005D07A6" w:rsidRDefault="00F42774">
            <w:pPr>
              <w:pStyle w:val="TA1"/>
              <w:jc w:val="center"/>
              <w:rPr>
                <w:rFonts w:eastAsiaTheme="minorEastAsia"/>
              </w:rPr>
            </w:pPr>
            <w:r>
              <w:t>30 000</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5B47F6B" w14:textId="77777777" w:rsidR="005D07A6" w:rsidRDefault="00F42774">
            <w:pPr>
              <w:pStyle w:val="TA1"/>
              <w:jc w:val="center"/>
              <w:rPr>
                <w:rFonts w:eastAsiaTheme="minorEastAsia"/>
              </w:rPr>
            </w:pPr>
            <w:r>
              <w:t>15 000</w:t>
            </w:r>
          </w:p>
        </w:tc>
        <w:tc>
          <w:tcPr>
            <w:tcW w:w="75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8890018" w14:textId="77777777" w:rsidR="005D07A6" w:rsidRDefault="00F42774">
            <w:pPr>
              <w:pStyle w:val="TA1"/>
              <w:jc w:val="center"/>
              <w:rPr>
                <w:rFonts w:eastAsiaTheme="minorEastAsia"/>
              </w:rPr>
            </w:pPr>
            <w:r>
              <w:t>Poids total</w:t>
            </w:r>
          </w:p>
        </w:tc>
        <w:tc>
          <w:tcPr>
            <w:tcW w:w="14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AD5527E" w14:textId="77777777" w:rsidR="005D07A6" w:rsidRDefault="00F42774">
            <w:pPr>
              <w:pStyle w:val="TA1"/>
              <w:jc w:val="center"/>
              <w:rPr>
                <w:rFonts w:eastAsiaTheme="minorEastAsia"/>
              </w:rPr>
            </w:pPr>
            <w:r>
              <w:t>Coût unitaire : 14 000/Q</w:t>
            </w:r>
          </w:p>
        </w:tc>
      </w:tr>
      <w:tr w:rsidR="005D07A6" w14:paraId="405746E3" w14:textId="77777777">
        <w:tc>
          <w:tcPr>
            <w:tcW w:w="11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2F708F2" w14:textId="77777777" w:rsidR="005D07A6" w:rsidRDefault="00F42774">
            <w:pPr>
              <w:pStyle w:val="TA1"/>
              <w:rPr>
                <w:rFonts w:eastAsiaTheme="minorEastAsia"/>
              </w:rPr>
            </w:pPr>
            <w:r>
              <w:t>Composant A</w:t>
            </w:r>
          </w:p>
        </w:tc>
        <w:tc>
          <w:tcPr>
            <w:tcW w:w="75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A1F199B" w14:textId="77777777" w:rsidR="005D07A6" w:rsidRDefault="00F42774">
            <w:pPr>
              <w:pStyle w:val="TA1"/>
              <w:jc w:val="center"/>
              <w:rPr>
                <w:rFonts w:eastAsiaTheme="minorEastAsia"/>
              </w:rPr>
            </w:pPr>
            <w:r>
              <w:t>0,1</w:t>
            </w:r>
          </w:p>
        </w:tc>
        <w:tc>
          <w:tcPr>
            <w:tcW w:w="75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6264C84" w14:textId="77777777" w:rsidR="005D07A6" w:rsidRDefault="00F42774">
            <w:pPr>
              <w:pStyle w:val="TA1"/>
              <w:jc w:val="center"/>
              <w:rPr>
                <w:rFonts w:eastAsiaTheme="minorEastAsia"/>
              </w:rPr>
            </w:pPr>
            <w:r>
              <w:t>0,2</w:t>
            </w:r>
          </w:p>
        </w:tc>
        <w:tc>
          <w:tcPr>
            <w:tcW w:w="75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6522B6F" w14:textId="77777777" w:rsidR="005D07A6" w:rsidRDefault="00F42774">
            <w:pPr>
              <w:pStyle w:val="TA1"/>
              <w:jc w:val="center"/>
              <w:rPr>
                <w:rFonts w:eastAsiaTheme="minorEastAsia"/>
              </w:rPr>
            </w:pPr>
            <w:r>
              <w:t>0,1</w:t>
            </w:r>
          </w:p>
        </w:tc>
        <w:tc>
          <w:tcPr>
            <w:tcW w:w="75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959261A" w14:textId="77777777" w:rsidR="005D07A6" w:rsidRDefault="00F42774">
            <w:pPr>
              <w:pStyle w:val="TA1"/>
              <w:jc w:val="right"/>
              <w:rPr>
                <w:rFonts w:eastAsiaTheme="minorEastAsia"/>
              </w:rPr>
            </w:pPr>
            <w:r>
              <w:t>11 500</w:t>
            </w:r>
          </w:p>
        </w:tc>
        <w:tc>
          <w:tcPr>
            <w:tcW w:w="148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C17990C" w14:textId="77777777" w:rsidR="005D07A6" w:rsidRDefault="00F42774">
            <w:pPr>
              <w:pStyle w:val="TA1"/>
              <w:jc w:val="center"/>
              <w:rPr>
                <w:rFonts w:eastAsiaTheme="minorEastAsia"/>
              </w:rPr>
            </w:pPr>
            <w:r>
              <w:t>1,2174</w:t>
            </w:r>
          </w:p>
        </w:tc>
      </w:tr>
      <w:tr w:rsidR="005D07A6" w14:paraId="150AFCF7" w14:textId="77777777">
        <w:tc>
          <w:tcPr>
            <w:tcW w:w="11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F475106" w14:textId="77777777" w:rsidR="005D07A6" w:rsidRDefault="00F42774">
            <w:pPr>
              <w:pStyle w:val="TA1"/>
              <w:rPr>
                <w:rFonts w:eastAsiaTheme="minorEastAsia"/>
              </w:rPr>
            </w:pPr>
            <w:r>
              <w:t>Composant B</w:t>
            </w:r>
          </w:p>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1DFC35DD" w14:textId="77777777" w:rsidR="005D07A6" w:rsidRDefault="005D07A6"/>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6FAB1B4D" w14:textId="77777777" w:rsidR="005D07A6" w:rsidRDefault="005D07A6"/>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124345C6" w14:textId="77777777" w:rsidR="005D07A6" w:rsidRDefault="00F42774">
            <w:pPr>
              <w:pStyle w:val="TA1"/>
              <w:jc w:val="center"/>
              <w:rPr>
                <w:rFonts w:eastAsiaTheme="minorEastAsia"/>
              </w:rPr>
            </w:pPr>
            <w:r>
              <w:t>0,3</w:t>
            </w:r>
          </w:p>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39D86684" w14:textId="77777777" w:rsidR="005D07A6" w:rsidRDefault="00F42774">
            <w:pPr>
              <w:pStyle w:val="TA1"/>
              <w:jc w:val="right"/>
              <w:rPr>
                <w:rFonts w:eastAsiaTheme="minorEastAsia"/>
              </w:rPr>
            </w:pPr>
            <w:r>
              <w:t>4 500</w:t>
            </w:r>
          </w:p>
        </w:tc>
        <w:tc>
          <w:tcPr>
            <w:tcW w:w="1485" w:type="dxa"/>
            <w:tcBorders>
              <w:top w:val="nil"/>
              <w:left w:val="single" w:sz="4" w:space="0" w:color="auto"/>
              <w:bottom w:val="nil"/>
              <w:right w:val="single" w:sz="4" w:space="0" w:color="auto"/>
            </w:tcBorders>
            <w:tcMar>
              <w:top w:w="0" w:type="dxa"/>
              <w:left w:w="2" w:type="dxa"/>
              <w:bottom w:w="0" w:type="dxa"/>
              <w:right w:w="2" w:type="dxa"/>
            </w:tcMar>
            <w:hideMark/>
          </w:tcPr>
          <w:p w14:paraId="3DE1A886" w14:textId="77777777" w:rsidR="005D07A6" w:rsidRDefault="00F42774">
            <w:pPr>
              <w:pStyle w:val="TA1"/>
              <w:jc w:val="center"/>
              <w:rPr>
                <w:rFonts w:eastAsiaTheme="minorEastAsia"/>
              </w:rPr>
            </w:pPr>
            <w:r>
              <w:t>3,1111</w:t>
            </w:r>
          </w:p>
        </w:tc>
      </w:tr>
      <w:tr w:rsidR="005D07A6" w14:paraId="3CAD88B4" w14:textId="77777777">
        <w:tc>
          <w:tcPr>
            <w:tcW w:w="11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19752DD" w14:textId="77777777" w:rsidR="005D07A6" w:rsidRDefault="00F42774">
            <w:pPr>
              <w:pStyle w:val="TA1"/>
              <w:rPr>
                <w:rFonts w:eastAsiaTheme="minorEastAsia"/>
              </w:rPr>
            </w:pPr>
            <w:r>
              <w:t>Composant C</w:t>
            </w:r>
          </w:p>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0552DEE7" w14:textId="77777777" w:rsidR="005D07A6" w:rsidRDefault="005D07A6"/>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573DE5A2" w14:textId="77777777" w:rsidR="005D07A6" w:rsidRDefault="00F42774">
            <w:pPr>
              <w:pStyle w:val="TA1"/>
              <w:jc w:val="center"/>
              <w:rPr>
                <w:rFonts w:eastAsiaTheme="minorEastAsia"/>
              </w:rPr>
            </w:pPr>
            <w:r>
              <w:t>0,5</w:t>
            </w:r>
          </w:p>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7C9F6E03" w14:textId="77777777" w:rsidR="005D07A6" w:rsidRDefault="00F42774">
            <w:pPr>
              <w:pStyle w:val="TA1"/>
              <w:jc w:val="center"/>
              <w:rPr>
                <w:rFonts w:eastAsiaTheme="minorEastAsia"/>
              </w:rPr>
            </w:pPr>
            <w:r>
              <w:t>0,6</w:t>
            </w:r>
          </w:p>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0B4C5417" w14:textId="77777777" w:rsidR="005D07A6" w:rsidRDefault="00F42774">
            <w:pPr>
              <w:pStyle w:val="TA1"/>
              <w:jc w:val="right"/>
              <w:rPr>
                <w:rFonts w:eastAsiaTheme="minorEastAsia"/>
              </w:rPr>
            </w:pPr>
            <w:r>
              <w:t>24 000</w:t>
            </w:r>
          </w:p>
        </w:tc>
        <w:tc>
          <w:tcPr>
            <w:tcW w:w="1485" w:type="dxa"/>
            <w:tcBorders>
              <w:top w:val="nil"/>
              <w:left w:val="single" w:sz="4" w:space="0" w:color="auto"/>
              <w:bottom w:val="nil"/>
              <w:right w:val="single" w:sz="4" w:space="0" w:color="auto"/>
            </w:tcBorders>
            <w:tcMar>
              <w:top w:w="0" w:type="dxa"/>
              <w:left w:w="2" w:type="dxa"/>
              <w:bottom w:w="0" w:type="dxa"/>
              <w:right w:w="2" w:type="dxa"/>
            </w:tcMar>
            <w:hideMark/>
          </w:tcPr>
          <w:p w14:paraId="0A42B885" w14:textId="77777777" w:rsidR="005D07A6" w:rsidRDefault="00F42774">
            <w:pPr>
              <w:pStyle w:val="TA1"/>
              <w:jc w:val="center"/>
              <w:rPr>
                <w:rFonts w:eastAsiaTheme="minorEastAsia"/>
              </w:rPr>
            </w:pPr>
            <w:r>
              <w:t>0,5833</w:t>
            </w:r>
          </w:p>
        </w:tc>
      </w:tr>
      <w:tr w:rsidR="005D07A6" w14:paraId="1E703BC2" w14:textId="77777777">
        <w:tc>
          <w:tcPr>
            <w:tcW w:w="11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86238AE" w14:textId="77777777" w:rsidR="005D07A6" w:rsidRDefault="00F42774">
            <w:pPr>
              <w:pStyle w:val="TA1"/>
              <w:rPr>
                <w:rFonts w:eastAsiaTheme="minorEastAsia"/>
              </w:rPr>
            </w:pPr>
            <w:r>
              <w:t>Composant D</w:t>
            </w:r>
          </w:p>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1B255C81" w14:textId="77777777" w:rsidR="005D07A6" w:rsidRDefault="00F42774">
            <w:pPr>
              <w:pStyle w:val="TA1"/>
              <w:jc w:val="center"/>
              <w:rPr>
                <w:rFonts w:eastAsiaTheme="minorEastAsia"/>
              </w:rPr>
            </w:pPr>
            <w:r>
              <w:t>0,2</w:t>
            </w:r>
          </w:p>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035A8CEB" w14:textId="77777777" w:rsidR="005D07A6" w:rsidRDefault="005D07A6"/>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43DCD4DC" w14:textId="77777777" w:rsidR="005D07A6" w:rsidRDefault="00F42774">
            <w:pPr>
              <w:pStyle w:val="TA1"/>
              <w:jc w:val="center"/>
              <w:rPr>
                <w:rFonts w:eastAsiaTheme="minorEastAsia"/>
              </w:rPr>
            </w:pPr>
            <w:r>
              <w:t>0,3</w:t>
            </w:r>
          </w:p>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09DECC53" w14:textId="77777777" w:rsidR="005D07A6" w:rsidRDefault="00F42774">
            <w:pPr>
              <w:pStyle w:val="TA1"/>
              <w:jc w:val="right"/>
              <w:rPr>
                <w:rFonts w:eastAsiaTheme="minorEastAsia"/>
              </w:rPr>
            </w:pPr>
            <w:r>
              <w:t>12 500</w:t>
            </w:r>
          </w:p>
        </w:tc>
        <w:tc>
          <w:tcPr>
            <w:tcW w:w="1485" w:type="dxa"/>
            <w:tcBorders>
              <w:top w:val="nil"/>
              <w:left w:val="single" w:sz="4" w:space="0" w:color="auto"/>
              <w:bottom w:val="nil"/>
              <w:right w:val="single" w:sz="4" w:space="0" w:color="auto"/>
            </w:tcBorders>
            <w:tcMar>
              <w:top w:w="0" w:type="dxa"/>
              <w:left w:w="2" w:type="dxa"/>
              <w:bottom w:w="0" w:type="dxa"/>
              <w:right w:w="2" w:type="dxa"/>
            </w:tcMar>
            <w:hideMark/>
          </w:tcPr>
          <w:p w14:paraId="43513BCF" w14:textId="77777777" w:rsidR="005D07A6" w:rsidRDefault="00F42774">
            <w:pPr>
              <w:pStyle w:val="TA1"/>
              <w:jc w:val="center"/>
              <w:rPr>
                <w:rFonts w:eastAsiaTheme="minorEastAsia"/>
              </w:rPr>
            </w:pPr>
            <w:r>
              <w:t>1,1200</w:t>
            </w:r>
          </w:p>
        </w:tc>
      </w:tr>
      <w:tr w:rsidR="005D07A6" w14:paraId="154AD8FE" w14:textId="77777777">
        <w:tc>
          <w:tcPr>
            <w:tcW w:w="11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2B146DC" w14:textId="77777777" w:rsidR="005D07A6" w:rsidRDefault="00F42774">
            <w:pPr>
              <w:pStyle w:val="TA1"/>
              <w:rPr>
                <w:rFonts w:eastAsiaTheme="minorEastAsia"/>
              </w:rPr>
            </w:pPr>
            <w:r>
              <w:t>Composant E</w:t>
            </w:r>
          </w:p>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75F84767" w14:textId="77777777" w:rsidR="005D07A6" w:rsidRDefault="00F42774">
            <w:pPr>
              <w:pStyle w:val="TA1"/>
              <w:jc w:val="center"/>
              <w:rPr>
                <w:rFonts w:eastAsiaTheme="minorEastAsia"/>
              </w:rPr>
            </w:pPr>
            <w:r>
              <w:t>0,4</w:t>
            </w:r>
          </w:p>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50D82052" w14:textId="77777777" w:rsidR="005D07A6" w:rsidRDefault="00F42774">
            <w:pPr>
              <w:pStyle w:val="TA1"/>
              <w:jc w:val="center"/>
              <w:rPr>
                <w:rFonts w:eastAsiaTheme="minorEastAsia"/>
              </w:rPr>
            </w:pPr>
            <w:r>
              <w:t>0,6</w:t>
            </w:r>
          </w:p>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0E5CC4D5" w14:textId="77777777" w:rsidR="005D07A6" w:rsidRDefault="005D07A6"/>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17F7C718" w14:textId="77777777" w:rsidR="005D07A6" w:rsidRDefault="00F42774">
            <w:pPr>
              <w:pStyle w:val="TA1"/>
              <w:jc w:val="right"/>
              <w:rPr>
                <w:rFonts w:eastAsiaTheme="minorEastAsia"/>
              </w:rPr>
            </w:pPr>
            <w:r>
              <w:t>34 000</w:t>
            </w:r>
          </w:p>
        </w:tc>
        <w:tc>
          <w:tcPr>
            <w:tcW w:w="1485" w:type="dxa"/>
            <w:tcBorders>
              <w:top w:val="nil"/>
              <w:left w:val="single" w:sz="4" w:space="0" w:color="auto"/>
              <w:bottom w:val="nil"/>
              <w:right w:val="single" w:sz="4" w:space="0" w:color="auto"/>
            </w:tcBorders>
            <w:tcMar>
              <w:top w:w="0" w:type="dxa"/>
              <w:left w:w="2" w:type="dxa"/>
              <w:bottom w:w="0" w:type="dxa"/>
              <w:right w:w="2" w:type="dxa"/>
            </w:tcMar>
            <w:hideMark/>
          </w:tcPr>
          <w:p w14:paraId="179DA18A" w14:textId="77777777" w:rsidR="005D07A6" w:rsidRDefault="00F42774">
            <w:pPr>
              <w:pStyle w:val="TA1"/>
              <w:jc w:val="center"/>
              <w:rPr>
                <w:rFonts w:eastAsiaTheme="minorEastAsia"/>
              </w:rPr>
            </w:pPr>
            <w:r>
              <w:t>0,4118</w:t>
            </w:r>
          </w:p>
        </w:tc>
      </w:tr>
      <w:tr w:rsidR="005D07A6" w14:paraId="0D737995" w14:textId="77777777">
        <w:tc>
          <w:tcPr>
            <w:tcW w:w="11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373420A" w14:textId="77777777" w:rsidR="005D07A6" w:rsidRDefault="00F42774">
            <w:pPr>
              <w:pStyle w:val="TA1"/>
              <w:rPr>
                <w:rFonts w:eastAsiaTheme="minorEastAsia"/>
              </w:rPr>
            </w:pPr>
            <w:r>
              <w:lastRenderedPageBreak/>
              <w:t>Composant F</w:t>
            </w:r>
          </w:p>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27B97B8F" w14:textId="77777777" w:rsidR="005D07A6" w:rsidRDefault="00F42774">
            <w:pPr>
              <w:pStyle w:val="TA1"/>
              <w:jc w:val="center"/>
              <w:rPr>
                <w:rFonts w:eastAsiaTheme="minorEastAsia"/>
              </w:rPr>
            </w:pPr>
            <w:r>
              <w:t>0,5</w:t>
            </w:r>
          </w:p>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11C5F598" w14:textId="77777777" w:rsidR="005D07A6" w:rsidRDefault="005D07A6"/>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726B771F" w14:textId="77777777" w:rsidR="005D07A6" w:rsidRDefault="005D07A6"/>
        </w:tc>
        <w:tc>
          <w:tcPr>
            <w:tcW w:w="750" w:type="dxa"/>
            <w:tcBorders>
              <w:top w:val="nil"/>
              <w:left w:val="single" w:sz="4" w:space="0" w:color="auto"/>
              <w:bottom w:val="nil"/>
              <w:right w:val="single" w:sz="4" w:space="0" w:color="auto"/>
            </w:tcBorders>
            <w:tcMar>
              <w:top w:w="0" w:type="dxa"/>
              <w:left w:w="2" w:type="dxa"/>
              <w:bottom w:w="0" w:type="dxa"/>
              <w:right w:w="2" w:type="dxa"/>
            </w:tcMar>
            <w:hideMark/>
          </w:tcPr>
          <w:p w14:paraId="1FC5D53A" w14:textId="77777777" w:rsidR="005D07A6" w:rsidRDefault="00F42774">
            <w:pPr>
              <w:pStyle w:val="TA1"/>
              <w:jc w:val="right"/>
              <w:rPr>
                <w:rFonts w:eastAsiaTheme="minorEastAsia"/>
              </w:rPr>
            </w:pPr>
            <w:r>
              <w:t>20 000</w:t>
            </w:r>
          </w:p>
        </w:tc>
        <w:tc>
          <w:tcPr>
            <w:tcW w:w="1485" w:type="dxa"/>
            <w:tcBorders>
              <w:top w:val="nil"/>
              <w:left w:val="single" w:sz="4" w:space="0" w:color="auto"/>
              <w:bottom w:val="nil"/>
              <w:right w:val="single" w:sz="4" w:space="0" w:color="auto"/>
            </w:tcBorders>
            <w:tcMar>
              <w:top w:w="0" w:type="dxa"/>
              <w:left w:w="2" w:type="dxa"/>
              <w:bottom w:w="0" w:type="dxa"/>
              <w:right w:w="2" w:type="dxa"/>
            </w:tcMar>
            <w:hideMark/>
          </w:tcPr>
          <w:p w14:paraId="0391DA61" w14:textId="77777777" w:rsidR="005D07A6" w:rsidRDefault="00F42774">
            <w:pPr>
              <w:pStyle w:val="TA1"/>
              <w:jc w:val="center"/>
              <w:rPr>
                <w:rFonts w:eastAsiaTheme="minorEastAsia"/>
              </w:rPr>
            </w:pPr>
            <w:r>
              <w:t>0,7000</w:t>
            </w:r>
          </w:p>
        </w:tc>
      </w:tr>
      <w:tr w:rsidR="005D07A6" w14:paraId="41F3AD45" w14:textId="77777777">
        <w:tc>
          <w:tcPr>
            <w:tcW w:w="111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20C0167" w14:textId="77777777" w:rsidR="005D07A6" w:rsidRDefault="00F42774">
            <w:pPr>
              <w:pStyle w:val="TA1"/>
              <w:rPr>
                <w:rFonts w:eastAsiaTheme="minorEastAsia"/>
              </w:rPr>
            </w:pPr>
            <w:r>
              <w:t>Composant G</w:t>
            </w:r>
          </w:p>
        </w:tc>
        <w:tc>
          <w:tcPr>
            <w:tcW w:w="75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19E8FB4" w14:textId="77777777" w:rsidR="005D07A6" w:rsidRDefault="00F42774">
            <w:pPr>
              <w:pStyle w:val="TA1"/>
              <w:jc w:val="center"/>
              <w:rPr>
                <w:rFonts w:eastAsiaTheme="minorEastAsia"/>
              </w:rPr>
            </w:pPr>
            <w:r>
              <w:t>1</w:t>
            </w:r>
          </w:p>
        </w:tc>
        <w:tc>
          <w:tcPr>
            <w:tcW w:w="75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AFBCA92" w14:textId="77777777" w:rsidR="005D07A6" w:rsidRDefault="00F42774">
            <w:pPr>
              <w:pStyle w:val="TA1"/>
              <w:jc w:val="center"/>
              <w:rPr>
                <w:rFonts w:eastAsiaTheme="minorEastAsia"/>
              </w:rPr>
            </w:pPr>
            <w:r>
              <w:t>1</w:t>
            </w:r>
          </w:p>
        </w:tc>
        <w:tc>
          <w:tcPr>
            <w:tcW w:w="75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8974F9B" w14:textId="77777777" w:rsidR="005D07A6" w:rsidRDefault="00F42774">
            <w:pPr>
              <w:pStyle w:val="TA1"/>
              <w:jc w:val="center"/>
              <w:rPr>
                <w:rFonts w:eastAsiaTheme="minorEastAsia"/>
              </w:rPr>
            </w:pPr>
            <w:r>
              <w:t>1</w:t>
            </w:r>
          </w:p>
        </w:tc>
        <w:tc>
          <w:tcPr>
            <w:tcW w:w="75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FD5BDDB" w14:textId="77777777" w:rsidR="005D07A6" w:rsidRDefault="00F42774">
            <w:pPr>
              <w:pStyle w:val="TA1"/>
              <w:jc w:val="right"/>
              <w:rPr>
                <w:rFonts w:eastAsiaTheme="minorEastAsia"/>
              </w:rPr>
            </w:pPr>
            <w:r>
              <w:t>85 000</w:t>
            </w:r>
          </w:p>
        </w:tc>
        <w:tc>
          <w:tcPr>
            <w:tcW w:w="148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5E15E83" w14:textId="77777777" w:rsidR="005D07A6" w:rsidRDefault="00F42774">
            <w:pPr>
              <w:pStyle w:val="TA1"/>
              <w:jc w:val="center"/>
              <w:rPr>
                <w:rFonts w:eastAsiaTheme="minorEastAsia"/>
              </w:rPr>
            </w:pPr>
            <w:r>
              <w:t>0,1647</w:t>
            </w:r>
          </w:p>
        </w:tc>
      </w:tr>
    </w:tbl>
    <w:p w14:paraId="3C4AF633" w14:textId="77777777" w:rsidR="005D07A6" w:rsidRDefault="00F42774">
      <w:pPr>
        <w:pStyle w:val="TT"/>
        <w:rPr>
          <w:rFonts w:eastAsiaTheme="minorEastAsia"/>
        </w:rPr>
      </w:pPr>
      <w:r>
        <w:t>Imputation aux produits de l’activité gestion des composants pour un produit</w:t>
      </w:r>
    </w:p>
    <w:tbl>
      <w:tblPr>
        <w:tblW w:w="6481" w:type="dxa"/>
        <w:tblInd w:w="1701" w:type="dxa"/>
        <w:tblLook w:val="04A0" w:firstRow="1" w:lastRow="0" w:firstColumn="1" w:lastColumn="0" w:noHBand="0" w:noVBand="1"/>
      </w:tblPr>
      <w:tblGrid>
        <w:gridCol w:w="1621"/>
        <w:gridCol w:w="1620"/>
        <w:gridCol w:w="1620"/>
        <w:gridCol w:w="1620"/>
      </w:tblGrid>
      <w:tr w:rsidR="005D07A6" w14:paraId="0CBBC465" w14:textId="77777777">
        <w:tc>
          <w:tcPr>
            <w:tcW w:w="1215" w:type="dxa"/>
            <w:tcBorders>
              <w:top w:val="nil"/>
              <w:left w:val="nil"/>
              <w:bottom w:val="single" w:sz="4" w:space="0" w:color="auto"/>
              <w:right w:val="single" w:sz="4" w:space="0" w:color="auto"/>
            </w:tcBorders>
            <w:tcMar>
              <w:top w:w="0" w:type="dxa"/>
              <w:left w:w="2" w:type="dxa"/>
              <w:bottom w:w="0" w:type="dxa"/>
              <w:right w:w="2" w:type="dxa"/>
            </w:tcMar>
            <w:hideMark/>
          </w:tcPr>
          <w:p w14:paraId="22D3DCF8" w14:textId="77777777" w:rsidR="005D07A6" w:rsidRDefault="005D07A6"/>
        </w:tc>
        <w:tc>
          <w:tcPr>
            <w:tcW w:w="121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4D0D2C9" w14:textId="77777777" w:rsidR="005D07A6" w:rsidRDefault="00F42774">
            <w:pPr>
              <w:pStyle w:val="TA1"/>
              <w:jc w:val="center"/>
              <w:rPr>
                <w:rFonts w:eastAsiaTheme="minorEastAsia"/>
              </w:rPr>
            </w:pPr>
            <w:r>
              <w:rPr>
                <w:b/>
                <w:bCs/>
              </w:rPr>
              <w:t>X</w:t>
            </w:r>
          </w:p>
        </w:tc>
        <w:tc>
          <w:tcPr>
            <w:tcW w:w="121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A3347CE" w14:textId="77777777" w:rsidR="005D07A6" w:rsidRDefault="00F42774">
            <w:pPr>
              <w:pStyle w:val="TA1"/>
              <w:jc w:val="center"/>
              <w:rPr>
                <w:rFonts w:eastAsiaTheme="minorEastAsia"/>
              </w:rPr>
            </w:pPr>
            <w:r>
              <w:rPr>
                <w:b/>
                <w:bCs/>
              </w:rPr>
              <w:t>Y</w:t>
            </w:r>
          </w:p>
        </w:tc>
        <w:tc>
          <w:tcPr>
            <w:tcW w:w="121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C567B0F" w14:textId="77777777" w:rsidR="005D07A6" w:rsidRDefault="00F42774">
            <w:pPr>
              <w:pStyle w:val="TA1"/>
              <w:jc w:val="center"/>
              <w:rPr>
                <w:rFonts w:eastAsiaTheme="minorEastAsia"/>
              </w:rPr>
            </w:pPr>
            <w:r>
              <w:rPr>
                <w:b/>
                <w:bCs/>
              </w:rPr>
              <w:t>Z</w:t>
            </w:r>
          </w:p>
        </w:tc>
      </w:tr>
      <w:tr w:rsidR="005D07A6" w14:paraId="45D12261" w14:textId="77777777">
        <w:tc>
          <w:tcPr>
            <w:tcW w:w="121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A6A1748" w14:textId="77777777" w:rsidR="005D07A6" w:rsidRDefault="00F42774">
            <w:pPr>
              <w:pStyle w:val="TA1"/>
              <w:rPr>
                <w:rFonts w:eastAsiaTheme="minorEastAsia"/>
              </w:rPr>
            </w:pPr>
            <w:r>
              <w:t>Composant A</w:t>
            </w:r>
          </w:p>
        </w:tc>
        <w:tc>
          <w:tcPr>
            <w:tcW w:w="121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30BEEA8" w14:textId="77777777" w:rsidR="005D07A6" w:rsidRDefault="00F42774">
            <w:pPr>
              <w:pStyle w:val="TA1"/>
              <w:jc w:val="center"/>
              <w:rPr>
                <w:rFonts w:eastAsiaTheme="minorEastAsia"/>
              </w:rPr>
            </w:pPr>
            <w:r>
              <w:t>0,1217</w:t>
            </w:r>
          </w:p>
        </w:tc>
        <w:tc>
          <w:tcPr>
            <w:tcW w:w="121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2BCFAA81" w14:textId="77777777" w:rsidR="005D07A6" w:rsidRDefault="00F42774">
            <w:pPr>
              <w:pStyle w:val="TA1"/>
              <w:jc w:val="center"/>
              <w:rPr>
                <w:rFonts w:eastAsiaTheme="minorEastAsia"/>
              </w:rPr>
            </w:pPr>
            <w:r>
              <w:t>0,2435</w:t>
            </w:r>
          </w:p>
        </w:tc>
        <w:tc>
          <w:tcPr>
            <w:tcW w:w="121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8CCD9EC" w14:textId="77777777" w:rsidR="005D07A6" w:rsidRDefault="00F42774">
            <w:pPr>
              <w:pStyle w:val="TA1"/>
              <w:jc w:val="center"/>
              <w:rPr>
                <w:rFonts w:eastAsiaTheme="minorEastAsia"/>
              </w:rPr>
            </w:pPr>
            <w:r>
              <w:t>0,1217</w:t>
            </w:r>
          </w:p>
        </w:tc>
      </w:tr>
      <w:tr w:rsidR="005D07A6" w14:paraId="33BB132B" w14:textId="77777777">
        <w:tc>
          <w:tcPr>
            <w:tcW w:w="121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320AF72" w14:textId="77777777" w:rsidR="005D07A6" w:rsidRDefault="00F42774">
            <w:pPr>
              <w:pStyle w:val="TA1"/>
              <w:rPr>
                <w:rFonts w:eastAsiaTheme="minorEastAsia"/>
              </w:rPr>
            </w:pPr>
            <w:r>
              <w:t>Composant B</w:t>
            </w:r>
          </w:p>
        </w:tc>
        <w:tc>
          <w:tcPr>
            <w:tcW w:w="1215" w:type="dxa"/>
            <w:tcBorders>
              <w:top w:val="nil"/>
              <w:left w:val="single" w:sz="4" w:space="0" w:color="auto"/>
              <w:bottom w:val="nil"/>
              <w:right w:val="single" w:sz="4" w:space="0" w:color="auto"/>
            </w:tcBorders>
            <w:tcMar>
              <w:top w:w="0" w:type="dxa"/>
              <w:left w:w="2" w:type="dxa"/>
              <w:bottom w:w="0" w:type="dxa"/>
              <w:right w:w="2" w:type="dxa"/>
            </w:tcMar>
            <w:hideMark/>
          </w:tcPr>
          <w:p w14:paraId="17F7517A" w14:textId="77777777" w:rsidR="005D07A6" w:rsidRDefault="00F42774">
            <w:pPr>
              <w:pStyle w:val="TA1"/>
              <w:jc w:val="center"/>
              <w:rPr>
                <w:rFonts w:eastAsiaTheme="minorEastAsia"/>
              </w:rPr>
            </w:pPr>
            <w:r>
              <w:t>0,0000</w:t>
            </w:r>
          </w:p>
        </w:tc>
        <w:tc>
          <w:tcPr>
            <w:tcW w:w="1215" w:type="dxa"/>
            <w:tcBorders>
              <w:top w:val="nil"/>
              <w:left w:val="single" w:sz="4" w:space="0" w:color="auto"/>
              <w:bottom w:val="nil"/>
              <w:right w:val="single" w:sz="4" w:space="0" w:color="auto"/>
            </w:tcBorders>
            <w:tcMar>
              <w:top w:w="0" w:type="dxa"/>
              <w:left w:w="2" w:type="dxa"/>
              <w:bottom w:w="0" w:type="dxa"/>
              <w:right w:w="2" w:type="dxa"/>
            </w:tcMar>
            <w:hideMark/>
          </w:tcPr>
          <w:p w14:paraId="05FD7D7C" w14:textId="77777777" w:rsidR="005D07A6" w:rsidRDefault="00F42774">
            <w:pPr>
              <w:pStyle w:val="TA1"/>
              <w:jc w:val="center"/>
              <w:rPr>
                <w:rFonts w:eastAsiaTheme="minorEastAsia"/>
              </w:rPr>
            </w:pPr>
            <w:r>
              <w:t>0,0000</w:t>
            </w:r>
          </w:p>
        </w:tc>
        <w:tc>
          <w:tcPr>
            <w:tcW w:w="1215" w:type="dxa"/>
            <w:tcBorders>
              <w:top w:val="nil"/>
              <w:left w:val="single" w:sz="4" w:space="0" w:color="auto"/>
              <w:bottom w:val="nil"/>
              <w:right w:val="single" w:sz="4" w:space="0" w:color="auto"/>
            </w:tcBorders>
            <w:tcMar>
              <w:top w:w="0" w:type="dxa"/>
              <w:left w:w="2" w:type="dxa"/>
              <w:bottom w:w="0" w:type="dxa"/>
              <w:right w:w="2" w:type="dxa"/>
            </w:tcMar>
            <w:hideMark/>
          </w:tcPr>
          <w:p w14:paraId="68C39F17" w14:textId="77777777" w:rsidR="005D07A6" w:rsidRDefault="00F42774">
            <w:pPr>
              <w:pStyle w:val="TA1"/>
              <w:jc w:val="center"/>
              <w:rPr>
                <w:rFonts w:eastAsiaTheme="minorEastAsia"/>
              </w:rPr>
            </w:pPr>
            <w:r>
              <w:t>0,9333</w:t>
            </w:r>
          </w:p>
        </w:tc>
      </w:tr>
      <w:tr w:rsidR="005D07A6" w14:paraId="23D99856" w14:textId="77777777">
        <w:tc>
          <w:tcPr>
            <w:tcW w:w="121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ADB1BFC" w14:textId="77777777" w:rsidR="005D07A6" w:rsidRDefault="00F42774">
            <w:pPr>
              <w:pStyle w:val="TA1"/>
              <w:rPr>
                <w:rFonts w:eastAsiaTheme="minorEastAsia"/>
              </w:rPr>
            </w:pPr>
            <w:r>
              <w:t>Composant C</w:t>
            </w:r>
          </w:p>
        </w:tc>
        <w:tc>
          <w:tcPr>
            <w:tcW w:w="1215" w:type="dxa"/>
            <w:tcBorders>
              <w:top w:val="nil"/>
              <w:left w:val="single" w:sz="4" w:space="0" w:color="auto"/>
              <w:bottom w:val="nil"/>
              <w:right w:val="single" w:sz="4" w:space="0" w:color="auto"/>
            </w:tcBorders>
            <w:tcMar>
              <w:top w:w="0" w:type="dxa"/>
              <w:left w:w="2" w:type="dxa"/>
              <w:bottom w:w="0" w:type="dxa"/>
              <w:right w:w="2" w:type="dxa"/>
            </w:tcMar>
            <w:hideMark/>
          </w:tcPr>
          <w:p w14:paraId="32CD5157" w14:textId="77777777" w:rsidR="005D07A6" w:rsidRDefault="00F42774">
            <w:pPr>
              <w:pStyle w:val="TA1"/>
              <w:jc w:val="center"/>
              <w:rPr>
                <w:rFonts w:eastAsiaTheme="minorEastAsia"/>
              </w:rPr>
            </w:pPr>
            <w:r>
              <w:t>0,0000</w:t>
            </w:r>
          </w:p>
        </w:tc>
        <w:tc>
          <w:tcPr>
            <w:tcW w:w="1215" w:type="dxa"/>
            <w:tcBorders>
              <w:top w:val="nil"/>
              <w:left w:val="single" w:sz="4" w:space="0" w:color="auto"/>
              <w:bottom w:val="nil"/>
              <w:right w:val="single" w:sz="4" w:space="0" w:color="auto"/>
            </w:tcBorders>
            <w:tcMar>
              <w:top w:w="0" w:type="dxa"/>
              <w:left w:w="2" w:type="dxa"/>
              <w:bottom w:w="0" w:type="dxa"/>
              <w:right w:w="2" w:type="dxa"/>
            </w:tcMar>
            <w:hideMark/>
          </w:tcPr>
          <w:p w14:paraId="09B63254" w14:textId="77777777" w:rsidR="005D07A6" w:rsidRDefault="00F42774">
            <w:pPr>
              <w:pStyle w:val="TA1"/>
              <w:jc w:val="center"/>
              <w:rPr>
                <w:rFonts w:eastAsiaTheme="minorEastAsia"/>
              </w:rPr>
            </w:pPr>
            <w:r>
              <w:t>0,2917</w:t>
            </w:r>
          </w:p>
        </w:tc>
        <w:tc>
          <w:tcPr>
            <w:tcW w:w="1215" w:type="dxa"/>
            <w:tcBorders>
              <w:top w:val="nil"/>
              <w:left w:val="single" w:sz="4" w:space="0" w:color="auto"/>
              <w:bottom w:val="nil"/>
              <w:right w:val="single" w:sz="4" w:space="0" w:color="auto"/>
            </w:tcBorders>
            <w:tcMar>
              <w:top w:w="0" w:type="dxa"/>
              <w:left w:w="2" w:type="dxa"/>
              <w:bottom w:w="0" w:type="dxa"/>
              <w:right w:w="2" w:type="dxa"/>
            </w:tcMar>
            <w:hideMark/>
          </w:tcPr>
          <w:p w14:paraId="2DB56B14" w14:textId="77777777" w:rsidR="005D07A6" w:rsidRDefault="00F42774">
            <w:pPr>
              <w:pStyle w:val="TA1"/>
              <w:jc w:val="center"/>
              <w:rPr>
                <w:rFonts w:eastAsiaTheme="minorEastAsia"/>
              </w:rPr>
            </w:pPr>
            <w:r>
              <w:t>0,3500</w:t>
            </w:r>
          </w:p>
        </w:tc>
      </w:tr>
      <w:tr w:rsidR="005D07A6" w14:paraId="7363B36E" w14:textId="77777777">
        <w:tc>
          <w:tcPr>
            <w:tcW w:w="121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DB5EC50" w14:textId="77777777" w:rsidR="005D07A6" w:rsidRDefault="00F42774">
            <w:pPr>
              <w:pStyle w:val="TA1"/>
              <w:rPr>
                <w:rFonts w:eastAsiaTheme="minorEastAsia"/>
              </w:rPr>
            </w:pPr>
            <w:r>
              <w:t>Composant D</w:t>
            </w:r>
          </w:p>
        </w:tc>
        <w:tc>
          <w:tcPr>
            <w:tcW w:w="1215" w:type="dxa"/>
            <w:tcBorders>
              <w:top w:val="nil"/>
              <w:left w:val="single" w:sz="4" w:space="0" w:color="auto"/>
              <w:bottom w:val="nil"/>
              <w:right w:val="single" w:sz="4" w:space="0" w:color="auto"/>
            </w:tcBorders>
            <w:tcMar>
              <w:top w:w="0" w:type="dxa"/>
              <w:left w:w="2" w:type="dxa"/>
              <w:bottom w:w="0" w:type="dxa"/>
              <w:right w:w="2" w:type="dxa"/>
            </w:tcMar>
            <w:hideMark/>
          </w:tcPr>
          <w:p w14:paraId="7737A76E" w14:textId="77777777" w:rsidR="005D07A6" w:rsidRDefault="00F42774">
            <w:pPr>
              <w:pStyle w:val="TA1"/>
              <w:jc w:val="center"/>
              <w:rPr>
                <w:rFonts w:eastAsiaTheme="minorEastAsia"/>
              </w:rPr>
            </w:pPr>
            <w:r>
              <w:t>0,2240</w:t>
            </w:r>
          </w:p>
        </w:tc>
        <w:tc>
          <w:tcPr>
            <w:tcW w:w="1215" w:type="dxa"/>
            <w:tcBorders>
              <w:top w:val="nil"/>
              <w:left w:val="single" w:sz="4" w:space="0" w:color="auto"/>
              <w:bottom w:val="nil"/>
              <w:right w:val="single" w:sz="4" w:space="0" w:color="auto"/>
            </w:tcBorders>
            <w:tcMar>
              <w:top w:w="0" w:type="dxa"/>
              <w:left w:w="2" w:type="dxa"/>
              <w:bottom w:w="0" w:type="dxa"/>
              <w:right w:w="2" w:type="dxa"/>
            </w:tcMar>
            <w:hideMark/>
          </w:tcPr>
          <w:p w14:paraId="2D1F163B" w14:textId="77777777" w:rsidR="005D07A6" w:rsidRDefault="00F42774">
            <w:pPr>
              <w:pStyle w:val="TA1"/>
              <w:jc w:val="center"/>
              <w:rPr>
                <w:rFonts w:eastAsiaTheme="minorEastAsia"/>
              </w:rPr>
            </w:pPr>
            <w:r>
              <w:t>0,0000</w:t>
            </w:r>
          </w:p>
        </w:tc>
        <w:tc>
          <w:tcPr>
            <w:tcW w:w="1215" w:type="dxa"/>
            <w:tcBorders>
              <w:top w:val="nil"/>
              <w:left w:val="single" w:sz="4" w:space="0" w:color="auto"/>
              <w:bottom w:val="nil"/>
              <w:right w:val="single" w:sz="4" w:space="0" w:color="auto"/>
            </w:tcBorders>
            <w:tcMar>
              <w:top w:w="0" w:type="dxa"/>
              <w:left w:w="2" w:type="dxa"/>
              <w:bottom w:w="0" w:type="dxa"/>
              <w:right w:w="2" w:type="dxa"/>
            </w:tcMar>
            <w:hideMark/>
          </w:tcPr>
          <w:p w14:paraId="1CA4A53C" w14:textId="77777777" w:rsidR="005D07A6" w:rsidRDefault="00F42774">
            <w:pPr>
              <w:pStyle w:val="TA1"/>
              <w:jc w:val="center"/>
              <w:rPr>
                <w:rFonts w:eastAsiaTheme="minorEastAsia"/>
              </w:rPr>
            </w:pPr>
            <w:r>
              <w:t>0,3360</w:t>
            </w:r>
          </w:p>
        </w:tc>
      </w:tr>
      <w:tr w:rsidR="005D07A6" w14:paraId="341EC197" w14:textId="77777777">
        <w:tc>
          <w:tcPr>
            <w:tcW w:w="121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2E76B7C" w14:textId="77777777" w:rsidR="005D07A6" w:rsidRDefault="00F42774">
            <w:pPr>
              <w:pStyle w:val="TA1"/>
              <w:rPr>
                <w:rFonts w:eastAsiaTheme="minorEastAsia"/>
              </w:rPr>
            </w:pPr>
            <w:r>
              <w:t>Composant E</w:t>
            </w:r>
          </w:p>
        </w:tc>
        <w:tc>
          <w:tcPr>
            <w:tcW w:w="1215" w:type="dxa"/>
            <w:tcBorders>
              <w:top w:val="nil"/>
              <w:left w:val="single" w:sz="4" w:space="0" w:color="auto"/>
              <w:bottom w:val="nil"/>
              <w:right w:val="single" w:sz="4" w:space="0" w:color="auto"/>
            </w:tcBorders>
            <w:tcMar>
              <w:top w:w="0" w:type="dxa"/>
              <w:left w:w="2" w:type="dxa"/>
              <w:bottom w:w="0" w:type="dxa"/>
              <w:right w:w="2" w:type="dxa"/>
            </w:tcMar>
            <w:hideMark/>
          </w:tcPr>
          <w:p w14:paraId="13135CE0" w14:textId="77777777" w:rsidR="005D07A6" w:rsidRDefault="00F42774">
            <w:pPr>
              <w:pStyle w:val="TA1"/>
              <w:jc w:val="center"/>
              <w:rPr>
                <w:rFonts w:eastAsiaTheme="minorEastAsia"/>
              </w:rPr>
            </w:pPr>
            <w:r>
              <w:t>0,1647</w:t>
            </w:r>
          </w:p>
        </w:tc>
        <w:tc>
          <w:tcPr>
            <w:tcW w:w="1215" w:type="dxa"/>
            <w:tcBorders>
              <w:top w:val="nil"/>
              <w:left w:val="single" w:sz="4" w:space="0" w:color="auto"/>
              <w:bottom w:val="nil"/>
              <w:right w:val="single" w:sz="4" w:space="0" w:color="auto"/>
            </w:tcBorders>
            <w:tcMar>
              <w:top w:w="0" w:type="dxa"/>
              <w:left w:w="2" w:type="dxa"/>
              <w:bottom w:w="0" w:type="dxa"/>
              <w:right w:w="2" w:type="dxa"/>
            </w:tcMar>
            <w:hideMark/>
          </w:tcPr>
          <w:p w14:paraId="68DEB545" w14:textId="77777777" w:rsidR="005D07A6" w:rsidRDefault="00F42774">
            <w:pPr>
              <w:pStyle w:val="TA1"/>
              <w:jc w:val="center"/>
              <w:rPr>
                <w:rFonts w:eastAsiaTheme="minorEastAsia"/>
              </w:rPr>
            </w:pPr>
            <w:r>
              <w:t>0,2471</w:t>
            </w:r>
          </w:p>
        </w:tc>
        <w:tc>
          <w:tcPr>
            <w:tcW w:w="1215" w:type="dxa"/>
            <w:tcBorders>
              <w:top w:val="nil"/>
              <w:left w:val="single" w:sz="4" w:space="0" w:color="auto"/>
              <w:bottom w:val="nil"/>
              <w:right w:val="single" w:sz="4" w:space="0" w:color="auto"/>
            </w:tcBorders>
            <w:tcMar>
              <w:top w:w="0" w:type="dxa"/>
              <w:left w:w="2" w:type="dxa"/>
              <w:bottom w:w="0" w:type="dxa"/>
              <w:right w:w="2" w:type="dxa"/>
            </w:tcMar>
            <w:hideMark/>
          </w:tcPr>
          <w:p w14:paraId="42DD053D" w14:textId="77777777" w:rsidR="005D07A6" w:rsidRDefault="00F42774">
            <w:pPr>
              <w:pStyle w:val="TA1"/>
              <w:jc w:val="center"/>
              <w:rPr>
                <w:rFonts w:eastAsiaTheme="minorEastAsia"/>
              </w:rPr>
            </w:pPr>
            <w:r>
              <w:t>0,0000</w:t>
            </w:r>
          </w:p>
        </w:tc>
      </w:tr>
      <w:tr w:rsidR="005D07A6" w14:paraId="5064CFC0" w14:textId="77777777">
        <w:tc>
          <w:tcPr>
            <w:tcW w:w="121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AF57BD3" w14:textId="77777777" w:rsidR="005D07A6" w:rsidRDefault="00F42774">
            <w:pPr>
              <w:pStyle w:val="TA1"/>
              <w:rPr>
                <w:rFonts w:eastAsiaTheme="minorEastAsia"/>
              </w:rPr>
            </w:pPr>
            <w:r>
              <w:t>Composant F</w:t>
            </w:r>
          </w:p>
        </w:tc>
        <w:tc>
          <w:tcPr>
            <w:tcW w:w="1215" w:type="dxa"/>
            <w:tcBorders>
              <w:top w:val="nil"/>
              <w:left w:val="single" w:sz="4" w:space="0" w:color="auto"/>
              <w:bottom w:val="nil"/>
              <w:right w:val="single" w:sz="4" w:space="0" w:color="auto"/>
            </w:tcBorders>
            <w:tcMar>
              <w:top w:w="0" w:type="dxa"/>
              <w:left w:w="2" w:type="dxa"/>
              <w:bottom w:w="0" w:type="dxa"/>
              <w:right w:w="2" w:type="dxa"/>
            </w:tcMar>
            <w:hideMark/>
          </w:tcPr>
          <w:p w14:paraId="569C0972" w14:textId="77777777" w:rsidR="005D07A6" w:rsidRDefault="00F42774">
            <w:pPr>
              <w:pStyle w:val="TA1"/>
              <w:jc w:val="center"/>
              <w:rPr>
                <w:rFonts w:eastAsiaTheme="minorEastAsia"/>
              </w:rPr>
            </w:pPr>
            <w:r>
              <w:t>0,3500</w:t>
            </w:r>
          </w:p>
        </w:tc>
        <w:tc>
          <w:tcPr>
            <w:tcW w:w="1215" w:type="dxa"/>
            <w:tcBorders>
              <w:top w:val="nil"/>
              <w:left w:val="single" w:sz="4" w:space="0" w:color="auto"/>
              <w:bottom w:val="nil"/>
              <w:right w:val="single" w:sz="4" w:space="0" w:color="auto"/>
            </w:tcBorders>
            <w:tcMar>
              <w:top w:w="0" w:type="dxa"/>
              <w:left w:w="2" w:type="dxa"/>
              <w:bottom w:w="0" w:type="dxa"/>
              <w:right w:w="2" w:type="dxa"/>
            </w:tcMar>
            <w:hideMark/>
          </w:tcPr>
          <w:p w14:paraId="3B23324E" w14:textId="77777777" w:rsidR="005D07A6" w:rsidRDefault="00F42774">
            <w:pPr>
              <w:pStyle w:val="TA1"/>
              <w:jc w:val="center"/>
              <w:rPr>
                <w:rFonts w:eastAsiaTheme="minorEastAsia"/>
              </w:rPr>
            </w:pPr>
            <w:r>
              <w:t>0,0000</w:t>
            </w:r>
          </w:p>
        </w:tc>
        <w:tc>
          <w:tcPr>
            <w:tcW w:w="1215" w:type="dxa"/>
            <w:tcBorders>
              <w:top w:val="nil"/>
              <w:left w:val="single" w:sz="4" w:space="0" w:color="auto"/>
              <w:bottom w:val="nil"/>
              <w:right w:val="single" w:sz="4" w:space="0" w:color="auto"/>
            </w:tcBorders>
            <w:tcMar>
              <w:top w:w="0" w:type="dxa"/>
              <w:left w:w="2" w:type="dxa"/>
              <w:bottom w:w="0" w:type="dxa"/>
              <w:right w:w="2" w:type="dxa"/>
            </w:tcMar>
            <w:hideMark/>
          </w:tcPr>
          <w:p w14:paraId="504DB6A6" w14:textId="77777777" w:rsidR="005D07A6" w:rsidRDefault="00F42774">
            <w:pPr>
              <w:pStyle w:val="TA1"/>
              <w:jc w:val="center"/>
              <w:rPr>
                <w:rFonts w:eastAsiaTheme="minorEastAsia"/>
              </w:rPr>
            </w:pPr>
            <w:r>
              <w:t>0,0000</w:t>
            </w:r>
          </w:p>
        </w:tc>
      </w:tr>
      <w:tr w:rsidR="005D07A6" w14:paraId="7ADBF5BC" w14:textId="77777777">
        <w:tc>
          <w:tcPr>
            <w:tcW w:w="121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682E399" w14:textId="77777777" w:rsidR="005D07A6" w:rsidRDefault="00F42774">
            <w:pPr>
              <w:pStyle w:val="TA1"/>
              <w:rPr>
                <w:rFonts w:eastAsiaTheme="minorEastAsia"/>
              </w:rPr>
            </w:pPr>
            <w:r>
              <w:t>Composant G</w:t>
            </w:r>
          </w:p>
        </w:tc>
        <w:tc>
          <w:tcPr>
            <w:tcW w:w="121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6623F2C" w14:textId="77777777" w:rsidR="005D07A6" w:rsidRDefault="00F42774">
            <w:pPr>
              <w:pStyle w:val="TA1"/>
              <w:jc w:val="center"/>
              <w:rPr>
                <w:rFonts w:eastAsiaTheme="minorEastAsia"/>
              </w:rPr>
            </w:pPr>
            <w:r>
              <w:t>0,1647</w:t>
            </w:r>
          </w:p>
        </w:tc>
        <w:tc>
          <w:tcPr>
            <w:tcW w:w="121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21E459D" w14:textId="77777777" w:rsidR="005D07A6" w:rsidRDefault="00F42774">
            <w:pPr>
              <w:pStyle w:val="TA1"/>
              <w:jc w:val="center"/>
              <w:rPr>
                <w:rFonts w:eastAsiaTheme="minorEastAsia"/>
              </w:rPr>
            </w:pPr>
            <w:r>
              <w:t>0,1647</w:t>
            </w:r>
          </w:p>
        </w:tc>
        <w:tc>
          <w:tcPr>
            <w:tcW w:w="121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E616E93" w14:textId="77777777" w:rsidR="005D07A6" w:rsidRDefault="00F42774">
            <w:pPr>
              <w:pStyle w:val="TA1"/>
              <w:jc w:val="center"/>
              <w:rPr>
                <w:rFonts w:eastAsiaTheme="minorEastAsia"/>
              </w:rPr>
            </w:pPr>
            <w:r>
              <w:t>0,1647</w:t>
            </w:r>
          </w:p>
        </w:tc>
      </w:tr>
      <w:tr w:rsidR="005D07A6" w14:paraId="423A1F44" w14:textId="77777777">
        <w:tc>
          <w:tcPr>
            <w:tcW w:w="121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36F22B5" w14:textId="77777777" w:rsidR="005D07A6" w:rsidRDefault="00F42774">
            <w:pPr>
              <w:pStyle w:val="TA1"/>
              <w:rPr>
                <w:rFonts w:eastAsiaTheme="minorEastAsia"/>
              </w:rPr>
            </w:pPr>
            <w:r>
              <w:t>Total</w:t>
            </w:r>
          </w:p>
        </w:tc>
        <w:tc>
          <w:tcPr>
            <w:tcW w:w="12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9936BDF" w14:textId="77777777" w:rsidR="005D07A6" w:rsidRDefault="00F42774">
            <w:pPr>
              <w:pStyle w:val="TA1"/>
              <w:jc w:val="center"/>
              <w:rPr>
                <w:rFonts w:eastAsiaTheme="minorEastAsia"/>
              </w:rPr>
            </w:pPr>
            <w:r>
              <w:t>1,0252</w:t>
            </w:r>
          </w:p>
        </w:tc>
        <w:tc>
          <w:tcPr>
            <w:tcW w:w="12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79E15FD" w14:textId="77777777" w:rsidR="005D07A6" w:rsidRDefault="00F42774">
            <w:pPr>
              <w:pStyle w:val="TA1"/>
              <w:jc w:val="center"/>
              <w:rPr>
                <w:rFonts w:eastAsiaTheme="minorEastAsia"/>
              </w:rPr>
            </w:pPr>
            <w:r>
              <w:t>0,9469</w:t>
            </w:r>
          </w:p>
        </w:tc>
        <w:tc>
          <w:tcPr>
            <w:tcW w:w="121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6BE6BCB" w14:textId="77777777" w:rsidR="005D07A6" w:rsidRDefault="00F42774">
            <w:pPr>
              <w:pStyle w:val="TA1"/>
              <w:jc w:val="center"/>
              <w:rPr>
                <w:rFonts w:eastAsiaTheme="minorEastAsia"/>
              </w:rPr>
            </w:pPr>
            <w:r>
              <w:t>1,9058</w:t>
            </w:r>
          </w:p>
        </w:tc>
      </w:tr>
    </w:tbl>
    <w:p w14:paraId="4ACE4959" w14:textId="77777777" w:rsidR="005D07A6" w:rsidRDefault="00F42774">
      <w:pPr>
        <w:pStyle w:val="TNiv2"/>
        <w:rPr>
          <w:rFonts w:eastAsiaTheme="minorEastAsia"/>
        </w:rPr>
      </w:pPr>
      <w:r>
        <w:t>c) Coûts de revient et résultats analytiques</w:t>
      </w:r>
    </w:p>
    <w:p w14:paraId="66E0A668" w14:textId="77777777" w:rsidR="005D07A6" w:rsidRDefault="00F42774">
      <w:pPr>
        <w:pStyle w:val="CTEspDessous"/>
      </w:pPr>
      <w:r>
        <w:t>Seules les charges indirectes étant imputées différemment, il convient de reprendre le total partiel des charges directes de la question 1.</w:t>
      </w:r>
    </w:p>
    <w:tbl>
      <w:tblPr>
        <w:tblW w:w="7399" w:type="dxa"/>
        <w:tblInd w:w="1701" w:type="dxa"/>
        <w:tblLook w:val="04A0" w:firstRow="1" w:lastRow="0" w:firstColumn="1" w:lastColumn="0" w:noHBand="0" w:noVBand="1"/>
      </w:tblPr>
      <w:tblGrid>
        <w:gridCol w:w="1151"/>
        <w:gridCol w:w="1711"/>
        <w:gridCol w:w="661"/>
        <w:gridCol w:w="1567"/>
        <w:gridCol w:w="661"/>
        <w:gridCol w:w="1567"/>
        <w:gridCol w:w="711"/>
      </w:tblGrid>
      <w:tr w:rsidR="005D07A6" w14:paraId="39A6822C" w14:textId="77777777">
        <w:tc>
          <w:tcPr>
            <w:tcW w:w="930" w:type="dxa"/>
            <w:tcBorders>
              <w:top w:val="nil"/>
              <w:left w:val="nil"/>
              <w:bottom w:val="nil"/>
              <w:right w:val="single" w:sz="4" w:space="0" w:color="auto"/>
            </w:tcBorders>
            <w:tcMar>
              <w:top w:w="0" w:type="dxa"/>
              <w:left w:w="2" w:type="dxa"/>
              <w:bottom w:w="0" w:type="dxa"/>
              <w:right w:w="2" w:type="dxa"/>
            </w:tcMar>
            <w:hideMark/>
          </w:tcPr>
          <w:p w14:paraId="535CE422" w14:textId="77777777" w:rsidR="005D07A6" w:rsidRDefault="005D07A6"/>
        </w:tc>
        <w:tc>
          <w:tcPr>
            <w:tcW w:w="1065"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DA8CBF6" w14:textId="77777777" w:rsidR="005D07A6" w:rsidRDefault="00F42774">
            <w:pPr>
              <w:pStyle w:val="TA1"/>
              <w:jc w:val="center"/>
              <w:rPr>
                <w:rFonts w:eastAsiaTheme="minorEastAsia"/>
              </w:rPr>
            </w:pPr>
            <w:r>
              <w:rPr>
                <w:b/>
                <w:bCs/>
              </w:rPr>
              <w:t>X</w:t>
            </w:r>
          </w:p>
        </w:tc>
        <w:tc>
          <w:tcPr>
            <w:tcW w:w="1020"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FA56D84" w14:textId="77777777" w:rsidR="005D07A6" w:rsidRDefault="00F42774">
            <w:pPr>
              <w:pStyle w:val="TA1"/>
              <w:jc w:val="center"/>
              <w:rPr>
                <w:rFonts w:eastAsiaTheme="minorEastAsia"/>
              </w:rPr>
            </w:pPr>
            <w:r>
              <w:rPr>
                <w:b/>
                <w:bCs/>
              </w:rPr>
              <w:t>Y</w:t>
            </w:r>
          </w:p>
        </w:tc>
        <w:tc>
          <w:tcPr>
            <w:tcW w:w="1020"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8672FED" w14:textId="77777777" w:rsidR="005D07A6" w:rsidRDefault="00F42774">
            <w:pPr>
              <w:pStyle w:val="TA1"/>
              <w:jc w:val="center"/>
              <w:rPr>
                <w:rFonts w:eastAsiaTheme="minorEastAsia"/>
              </w:rPr>
            </w:pPr>
            <w:r>
              <w:rPr>
                <w:b/>
                <w:bCs/>
              </w:rPr>
              <w:t>Z</w:t>
            </w:r>
          </w:p>
        </w:tc>
      </w:tr>
      <w:tr w:rsidR="005D07A6" w14:paraId="4E84AFE3" w14:textId="77777777">
        <w:tc>
          <w:tcPr>
            <w:tcW w:w="930" w:type="dxa"/>
            <w:tcBorders>
              <w:top w:val="nil"/>
              <w:left w:val="nil"/>
              <w:bottom w:val="single" w:sz="4" w:space="0" w:color="auto"/>
              <w:right w:val="single" w:sz="4" w:space="0" w:color="auto"/>
            </w:tcBorders>
            <w:tcMar>
              <w:top w:w="0" w:type="dxa"/>
              <w:left w:w="2" w:type="dxa"/>
              <w:bottom w:w="0" w:type="dxa"/>
              <w:right w:w="2" w:type="dxa"/>
            </w:tcMar>
            <w:hideMark/>
          </w:tcPr>
          <w:p w14:paraId="43DC9B1D" w14:textId="77777777" w:rsidR="005D07A6" w:rsidRDefault="005D07A6"/>
        </w:tc>
        <w:tc>
          <w:tcPr>
            <w:tcW w:w="106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1378C2B" w14:textId="77777777" w:rsidR="005D07A6" w:rsidRDefault="00F42774">
            <w:pPr>
              <w:pStyle w:val="TA1"/>
              <w:jc w:val="center"/>
              <w:rPr>
                <w:rFonts w:eastAsiaTheme="minorEastAsia"/>
              </w:rPr>
            </w:pPr>
            <w:r>
              <w:rPr>
                <w:b/>
                <w:bCs/>
              </w:rPr>
              <w:t>Calcul</w:t>
            </w:r>
            <w:r>
              <w:rPr>
                <w:rStyle w:val="TaAppelNote"/>
              </w:rPr>
              <w:t>(1)</w:t>
            </w:r>
          </w:p>
        </w:tc>
        <w:tc>
          <w:tcPr>
            <w:tcW w:w="49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B08FEEC" w14:textId="77777777" w:rsidR="005D07A6" w:rsidRDefault="00F42774">
            <w:pPr>
              <w:pStyle w:val="TA1"/>
              <w:jc w:val="center"/>
              <w:rPr>
                <w:rFonts w:eastAsiaTheme="minorEastAsia"/>
              </w:rPr>
            </w:pPr>
            <w:r>
              <w:rPr>
                <w:b/>
                <w:bCs/>
              </w:rPr>
              <w:t>M</w:t>
            </w:r>
          </w:p>
        </w:tc>
        <w:tc>
          <w:tcPr>
            <w:tcW w:w="10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3289182" w14:textId="77777777" w:rsidR="005D07A6" w:rsidRDefault="00F42774">
            <w:pPr>
              <w:pStyle w:val="TA1"/>
              <w:jc w:val="center"/>
              <w:rPr>
                <w:rFonts w:eastAsiaTheme="minorEastAsia"/>
              </w:rPr>
            </w:pPr>
            <w:r>
              <w:rPr>
                <w:b/>
                <w:bCs/>
              </w:rPr>
              <w:t>Calcul</w:t>
            </w:r>
          </w:p>
        </w:tc>
        <w:tc>
          <w:tcPr>
            <w:tcW w:w="49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662EB23" w14:textId="77777777" w:rsidR="005D07A6" w:rsidRDefault="00F42774">
            <w:pPr>
              <w:pStyle w:val="TA1"/>
              <w:jc w:val="center"/>
              <w:rPr>
                <w:rFonts w:eastAsiaTheme="minorEastAsia"/>
              </w:rPr>
            </w:pPr>
            <w:r>
              <w:rPr>
                <w:b/>
                <w:bCs/>
              </w:rPr>
              <w:t>M</w:t>
            </w:r>
          </w:p>
        </w:tc>
        <w:tc>
          <w:tcPr>
            <w:tcW w:w="10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BE37F6D" w14:textId="77777777" w:rsidR="005D07A6" w:rsidRDefault="00F42774">
            <w:pPr>
              <w:pStyle w:val="TA1"/>
              <w:jc w:val="center"/>
              <w:rPr>
                <w:rFonts w:eastAsiaTheme="minorEastAsia"/>
              </w:rPr>
            </w:pPr>
            <w:r>
              <w:rPr>
                <w:b/>
                <w:bCs/>
              </w:rPr>
              <w:t>Calcul</w:t>
            </w:r>
          </w:p>
        </w:tc>
        <w:tc>
          <w:tcPr>
            <w:tcW w:w="52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19C26AE" w14:textId="77777777" w:rsidR="005D07A6" w:rsidRDefault="00F42774">
            <w:pPr>
              <w:pStyle w:val="TA1"/>
              <w:jc w:val="center"/>
              <w:rPr>
                <w:rFonts w:eastAsiaTheme="minorEastAsia"/>
              </w:rPr>
            </w:pPr>
            <w:r>
              <w:rPr>
                <w:b/>
                <w:bCs/>
              </w:rPr>
              <w:t>M</w:t>
            </w:r>
          </w:p>
        </w:tc>
      </w:tr>
      <w:tr w:rsidR="005D07A6" w14:paraId="40634021" w14:textId="77777777">
        <w:tc>
          <w:tcPr>
            <w:tcW w:w="93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35C66AA" w14:textId="77777777" w:rsidR="005D07A6" w:rsidRDefault="00F42774">
            <w:pPr>
              <w:pStyle w:val="TA1"/>
              <w:rPr>
                <w:rFonts w:eastAsiaTheme="minorEastAsia"/>
              </w:rPr>
            </w:pPr>
            <w:r>
              <w:t>Références</w:t>
            </w:r>
          </w:p>
        </w:tc>
        <w:tc>
          <w:tcPr>
            <w:tcW w:w="10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ADB6160" w14:textId="77777777" w:rsidR="005D07A6" w:rsidRDefault="005D07A6"/>
        </w:tc>
        <w:tc>
          <w:tcPr>
            <w:tcW w:w="49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D335CA4" w14:textId="77777777" w:rsidR="005D07A6" w:rsidRDefault="00F42774">
            <w:pPr>
              <w:pStyle w:val="TA1"/>
              <w:jc w:val="right"/>
              <w:rPr>
                <w:rFonts w:eastAsiaTheme="minorEastAsia"/>
              </w:rPr>
            </w:pPr>
            <w:r>
              <w:t>1,025</w:t>
            </w:r>
          </w:p>
        </w:tc>
        <w:tc>
          <w:tcPr>
            <w:tcW w:w="10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675E554" w14:textId="77777777" w:rsidR="005D07A6" w:rsidRDefault="005D07A6"/>
        </w:tc>
        <w:tc>
          <w:tcPr>
            <w:tcW w:w="49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3EBBB21" w14:textId="77777777" w:rsidR="005D07A6" w:rsidRDefault="00F42774">
            <w:pPr>
              <w:pStyle w:val="TA1"/>
              <w:jc w:val="right"/>
              <w:rPr>
                <w:rFonts w:eastAsiaTheme="minorEastAsia"/>
              </w:rPr>
            </w:pPr>
            <w:r>
              <w:t>0,947</w:t>
            </w:r>
          </w:p>
        </w:tc>
        <w:tc>
          <w:tcPr>
            <w:tcW w:w="10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1576C53F" w14:textId="77777777" w:rsidR="005D07A6" w:rsidRDefault="005D07A6"/>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879B6B7" w14:textId="77777777" w:rsidR="005D07A6" w:rsidRDefault="00F42774">
            <w:pPr>
              <w:pStyle w:val="TA1"/>
              <w:jc w:val="right"/>
              <w:rPr>
                <w:rFonts w:eastAsiaTheme="minorEastAsia"/>
              </w:rPr>
            </w:pPr>
            <w:r>
              <w:t>1,906</w:t>
            </w:r>
          </w:p>
        </w:tc>
      </w:tr>
      <w:tr w:rsidR="005D07A6" w14:paraId="206E7BB8" w14:textId="77777777">
        <w:tc>
          <w:tcPr>
            <w:tcW w:w="93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AA00DED" w14:textId="77777777" w:rsidR="005D07A6" w:rsidRDefault="00F42774">
            <w:pPr>
              <w:pStyle w:val="TA1"/>
              <w:rPr>
                <w:rFonts w:eastAsiaTheme="minorEastAsia"/>
              </w:rPr>
            </w:pPr>
            <w:r>
              <w:t>Lots réception</w:t>
            </w:r>
          </w:p>
        </w:tc>
        <w:tc>
          <w:tcPr>
            <w:tcW w:w="1065" w:type="dxa"/>
            <w:tcBorders>
              <w:top w:val="nil"/>
              <w:left w:val="single" w:sz="4" w:space="0" w:color="auto"/>
              <w:bottom w:val="nil"/>
              <w:right w:val="single" w:sz="4" w:space="0" w:color="auto"/>
            </w:tcBorders>
            <w:tcMar>
              <w:top w:w="0" w:type="dxa"/>
              <w:left w:w="2" w:type="dxa"/>
              <w:bottom w:w="0" w:type="dxa"/>
              <w:right w:w="2" w:type="dxa"/>
            </w:tcMar>
            <w:hideMark/>
          </w:tcPr>
          <w:p w14:paraId="29431211" w14:textId="77777777" w:rsidR="005D07A6" w:rsidRDefault="00F42774">
            <w:pPr>
              <w:pStyle w:val="TA1"/>
              <w:jc w:val="right"/>
              <w:rPr>
                <w:rFonts w:eastAsiaTheme="minorEastAsia"/>
              </w:rPr>
            </w:pPr>
            <w:r>
              <w:rPr>
                <w:rStyle w:val="TaAppelNote"/>
              </w:rPr>
              <w:t>(2)</w:t>
            </w:r>
            <w:r>
              <w:t>50 × 1 000/40 000</w:t>
            </w:r>
          </w:p>
        </w:tc>
        <w:tc>
          <w:tcPr>
            <w:tcW w:w="495" w:type="dxa"/>
            <w:tcBorders>
              <w:top w:val="nil"/>
              <w:left w:val="single" w:sz="4" w:space="0" w:color="auto"/>
              <w:bottom w:val="nil"/>
              <w:right w:val="single" w:sz="4" w:space="0" w:color="auto"/>
            </w:tcBorders>
            <w:tcMar>
              <w:top w:w="0" w:type="dxa"/>
              <w:left w:w="2" w:type="dxa"/>
              <w:bottom w:w="0" w:type="dxa"/>
              <w:right w:w="2" w:type="dxa"/>
            </w:tcMar>
            <w:hideMark/>
          </w:tcPr>
          <w:p w14:paraId="0D18EF45" w14:textId="77777777" w:rsidR="005D07A6" w:rsidRDefault="00F42774">
            <w:pPr>
              <w:pStyle w:val="TA1"/>
              <w:jc w:val="right"/>
              <w:rPr>
                <w:rFonts w:eastAsiaTheme="minorEastAsia"/>
              </w:rPr>
            </w:pPr>
            <w:r>
              <w:t>1,250</w:t>
            </w:r>
          </w:p>
        </w:tc>
        <w:tc>
          <w:tcPr>
            <w:tcW w:w="1020" w:type="dxa"/>
            <w:tcBorders>
              <w:top w:val="nil"/>
              <w:left w:val="single" w:sz="4" w:space="0" w:color="auto"/>
              <w:bottom w:val="nil"/>
              <w:right w:val="single" w:sz="4" w:space="0" w:color="auto"/>
            </w:tcBorders>
            <w:tcMar>
              <w:top w:w="0" w:type="dxa"/>
              <w:left w:w="2" w:type="dxa"/>
              <w:bottom w:w="0" w:type="dxa"/>
              <w:right w:w="2" w:type="dxa"/>
            </w:tcMar>
            <w:hideMark/>
          </w:tcPr>
          <w:p w14:paraId="109FDC6C" w14:textId="77777777" w:rsidR="005D07A6" w:rsidRDefault="00F42774">
            <w:pPr>
              <w:pStyle w:val="TA1"/>
              <w:jc w:val="right"/>
              <w:rPr>
                <w:rFonts w:eastAsiaTheme="minorEastAsia"/>
              </w:rPr>
            </w:pPr>
            <w:r>
              <w:t>42 × 1 000/30 000</w:t>
            </w:r>
          </w:p>
        </w:tc>
        <w:tc>
          <w:tcPr>
            <w:tcW w:w="495" w:type="dxa"/>
            <w:tcBorders>
              <w:top w:val="nil"/>
              <w:left w:val="single" w:sz="4" w:space="0" w:color="auto"/>
              <w:bottom w:val="nil"/>
              <w:right w:val="single" w:sz="4" w:space="0" w:color="auto"/>
            </w:tcBorders>
            <w:tcMar>
              <w:top w:w="0" w:type="dxa"/>
              <w:left w:w="2" w:type="dxa"/>
              <w:bottom w:w="0" w:type="dxa"/>
              <w:right w:w="2" w:type="dxa"/>
            </w:tcMar>
            <w:hideMark/>
          </w:tcPr>
          <w:p w14:paraId="5FD7D11B" w14:textId="77777777" w:rsidR="005D07A6" w:rsidRDefault="00F42774">
            <w:pPr>
              <w:pStyle w:val="TA1"/>
              <w:jc w:val="right"/>
              <w:rPr>
                <w:rFonts w:eastAsiaTheme="minorEastAsia"/>
              </w:rPr>
            </w:pPr>
            <w:r>
              <w:t>1,400</w:t>
            </w:r>
          </w:p>
        </w:tc>
        <w:tc>
          <w:tcPr>
            <w:tcW w:w="1020" w:type="dxa"/>
            <w:tcBorders>
              <w:top w:val="nil"/>
              <w:left w:val="single" w:sz="4" w:space="0" w:color="auto"/>
              <w:bottom w:val="nil"/>
              <w:right w:val="single" w:sz="4" w:space="0" w:color="auto"/>
            </w:tcBorders>
            <w:tcMar>
              <w:top w:w="0" w:type="dxa"/>
              <w:left w:w="2" w:type="dxa"/>
              <w:bottom w:w="0" w:type="dxa"/>
              <w:right w:w="2" w:type="dxa"/>
            </w:tcMar>
            <w:hideMark/>
          </w:tcPr>
          <w:p w14:paraId="757DE9A6" w14:textId="77777777" w:rsidR="005D07A6" w:rsidRDefault="00F42774">
            <w:pPr>
              <w:pStyle w:val="TA1"/>
              <w:jc w:val="right"/>
              <w:rPr>
                <w:rFonts w:eastAsiaTheme="minorEastAsia"/>
              </w:rPr>
            </w:pPr>
            <w:r>
              <w:t>33 × 1 000/15 000</w:t>
            </w:r>
          </w:p>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7A797445" w14:textId="77777777" w:rsidR="005D07A6" w:rsidRDefault="00F42774">
            <w:pPr>
              <w:pStyle w:val="TA1"/>
              <w:jc w:val="right"/>
              <w:rPr>
                <w:rFonts w:eastAsiaTheme="minorEastAsia"/>
              </w:rPr>
            </w:pPr>
            <w:r>
              <w:t>2,200</w:t>
            </w:r>
          </w:p>
        </w:tc>
      </w:tr>
      <w:tr w:rsidR="005D07A6" w14:paraId="1EC29288" w14:textId="77777777">
        <w:tc>
          <w:tcPr>
            <w:tcW w:w="93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98D1709" w14:textId="77777777" w:rsidR="005D07A6" w:rsidRDefault="00F42774">
            <w:pPr>
              <w:pStyle w:val="TA1"/>
              <w:rPr>
                <w:rFonts w:eastAsiaTheme="minorEastAsia"/>
              </w:rPr>
            </w:pPr>
            <w:r>
              <w:t>Manipulations</w:t>
            </w:r>
          </w:p>
        </w:tc>
        <w:tc>
          <w:tcPr>
            <w:tcW w:w="1065" w:type="dxa"/>
            <w:tcBorders>
              <w:top w:val="nil"/>
              <w:left w:val="single" w:sz="4" w:space="0" w:color="auto"/>
              <w:bottom w:val="nil"/>
              <w:right w:val="single" w:sz="4" w:space="0" w:color="auto"/>
            </w:tcBorders>
            <w:tcMar>
              <w:top w:w="0" w:type="dxa"/>
              <w:left w:w="2" w:type="dxa"/>
              <w:bottom w:w="0" w:type="dxa"/>
              <w:right w:w="2" w:type="dxa"/>
            </w:tcMar>
            <w:hideMark/>
          </w:tcPr>
          <w:p w14:paraId="44B9A244" w14:textId="77777777" w:rsidR="005D07A6" w:rsidRDefault="00F42774">
            <w:pPr>
              <w:pStyle w:val="TA1"/>
              <w:jc w:val="right"/>
              <w:rPr>
                <w:rFonts w:eastAsiaTheme="minorEastAsia"/>
              </w:rPr>
            </w:pPr>
            <w:r>
              <w:t>150 × 100/40 000</w:t>
            </w:r>
          </w:p>
        </w:tc>
        <w:tc>
          <w:tcPr>
            <w:tcW w:w="495" w:type="dxa"/>
            <w:tcBorders>
              <w:top w:val="nil"/>
              <w:left w:val="single" w:sz="4" w:space="0" w:color="auto"/>
              <w:bottom w:val="nil"/>
              <w:right w:val="single" w:sz="4" w:space="0" w:color="auto"/>
            </w:tcBorders>
            <w:tcMar>
              <w:top w:w="0" w:type="dxa"/>
              <w:left w:w="2" w:type="dxa"/>
              <w:bottom w:w="0" w:type="dxa"/>
              <w:right w:w="2" w:type="dxa"/>
            </w:tcMar>
            <w:hideMark/>
          </w:tcPr>
          <w:p w14:paraId="2092D70F" w14:textId="77777777" w:rsidR="005D07A6" w:rsidRDefault="00F42774">
            <w:pPr>
              <w:pStyle w:val="TA1"/>
              <w:jc w:val="right"/>
              <w:rPr>
                <w:rFonts w:eastAsiaTheme="minorEastAsia"/>
              </w:rPr>
            </w:pPr>
            <w:r>
              <w:t>0,375</w:t>
            </w:r>
          </w:p>
        </w:tc>
        <w:tc>
          <w:tcPr>
            <w:tcW w:w="1020" w:type="dxa"/>
            <w:tcBorders>
              <w:top w:val="nil"/>
              <w:left w:val="single" w:sz="4" w:space="0" w:color="auto"/>
              <w:bottom w:val="nil"/>
              <w:right w:val="single" w:sz="4" w:space="0" w:color="auto"/>
            </w:tcBorders>
            <w:tcMar>
              <w:top w:w="0" w:type="dxa"/>
              <w:left w:w="2" w:type="dxa"/>
              <w:bottom w:w="0" w:type="dxa"/>
              <w:right w:w="2" w:type="dxa"/>
            </w:tcMar>
            <w:hideMark/>
          </w:tcPr>
          <w:p w14:paraId="3C511172" w14:textId="77777777" w:rsidR="005D07A6" w:rsidRDefault="00F42774">
            <w:pPr>
              <w:pStyle w:val="TA1"/>
              <w:jc w:val="right"/>
              <w:rPr>
                <w:rFonts w:eastAsiaTheme="minorEastAsia"/>
              </w:rPr>
            </w:pPr>
            <w:r>
              <w:t>120 × 100/30 000</w:t>
            </w:r>
          </w:p>
        </w:tc>
        <w:tc>
          <w:tcPr>
            <w:tcW w:w="495" w:type="dxa"/>
            <w:tcBorders>
              <w:top w:val="nil"/>
              <w:left w:val="single" w:sz="4" w:space="0" w:color="auto"/>
              <w:bottom w:val="nil"/>
              <w:right w:val="single" w:sz="4" w:space="0" w:color="auto"/>
            </w:tcBorders>
            <w:tcMar>
              <w:top w:w="0" w:type="dxa"/>
              <w:left w:w="2" w:type="dxa"/>
              <w:bottom w:w="0" w:type="dxa"/>
              <w:right w:w="2" w:type="dxa"/>
            </w:tcMar>
            <w:hideMark/>
          </w:tcPr>
          <w:p w14:paraId="0D1728B2" w14:textId="77777777" w:rsidR="005D07A6" w:rsidRDefault="00F42774">
            <w:pPr>
              <w:pStyle w:val="TA1"/>
              <w:jc w:val="right"/>
              <w:rPr>
                <w:rFonts w:eastAsiaTheme="minorEastAsia"/>
              </w:rPr>
            </w:pPr>
            <w:r>
              <w:t>0,400</w:t>
            </w:r>
          </w:p>
        </w:tc>
        <w:tc>
          <w:tcPr>
            <w:tcW w:w="1020" w:type="dxa"/>
            <w:tcBorders>
              <w:top w:val="nil"/>
              <w:left w:val="single" w:sz="4" w:space="0" w:color="auto"/>
              <w:bottom w:val="nil"/>
              <w:right w:val="single" w:sz="4" w:space="0" w:color="auto"/>
            </w:tcBorders>
            <w:tcMar>
              <w:top w:w="0" w:type="dxa"/>
              <w:left w:w="2" w:type="dxa"/>
              <w:bottom w:w="0" w:type="dxa"/>
              <w:right w:w="2" w:type="dxa"/>
            </w:tcMar>
            <w:hideMark/>
          </w:tcPr>
          <w:p w14:paraId="4C80E5D1" w14:textId="77777777" w:rsidR="005D07A6" w:rsidRDefault="00F42774">
            <w:pPr>
              <w:pStyle w:val="TA1"/>
              <w:jc w:val="right"/>
              <w:rPr>
                <w:rFonts w:eastAsiaTheme="minorEastAsia"/>
              </w:rPr>
            </w:pPr>
            <w:r>
              <w:t>325 × 100/15 000</w:t>
            </w:r>
          </w:p>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07FD62C3" w14:textId="77777777" w:rsidR="005D07A6" w:rsidRDefault="00F42774">
            <w:pPr>
              <w:pStyle w:val="TA1"/>
              <w:jc w:val="right"/>
              <w:rPr>
                <w:rFonts w:eastAsiaTheme="minorEastAsia"/>
              </w:rPr>
            </w:pPr>
            <w:r>
              <w:t>2,167</w:t>
            </w:r>
          </w:p>
        </w:tc>
      </w:tr>
      <w:tr w:rsidR="005D07A6" w14:paraId="2A75E2FF" w14:textId="77777777">
        <w:tc>
          <w:tcPr>
            <w:tcW w:w="93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97C2E05" w14:textId="77777777" w:rsidR="005D07A6" w:rsidRDefault="00F42774">
            <w:pPr>
              <w:pStyle w:val="TA1"/>
              <w:rPr>
                <w:rFonts w:eastAsiaTheme="minorEastAsia"/>
              </w:rPr>
            </w:pPr>
            <w:r>
              <w:t>Lots fabriqués</w:t>
            </w:r>
          </w:p>
        </w:tc>
        <w:tc>
          <w:tcPr>
            <w:tcW w:w="1065" w:type="dxa"/>
            <w:tcBorders>
              <w:top w:val="nil"/>
              <w:left w:val="single" w:sz="4" w:space="0" w:color="auto"/>
              <w:bottom w:val="nil"/>
              <w:right w:val="single" w:sz="4" w:space="0" w:color="auto"/>
            </w:tcBorders>
            <w:tcMar>
              <w:top w:w="0" w:type="dxa"/>
              <w:left w:w="2" w:type="dxa"/>
              <w:bottom w:w="0" w:type="dxa"/>
              <w:right w:w="2" w:type="dxa"/>
            </w:tcMar>
            <w:hideMark/>
          </w:tcPr>
          <w:p w14:paraId="1BFE3BA7" w14:textId="77777777" w:rsidR="005D07A6" w:rsidRDefault="00F42774">
            <w:pPr>
              <w:pStyle w:val="TA1"/>
              <w:jc w:val="right"/>
              <w:rPr>
                <w:rFonts w:eastAsiaTheme="minorEastAsia"/>
              </w:rPr>
            </w:pPr>
            <w:r>
              <w:t>30 × 2 000/40 000</w:t>
            </w:r>
          </w:p>
        </w:tc>
        <w:tc>
          <w:tcPr>
            <w:tcW w:w="495" w:type="dxa"/>
            <w:tcBorders>
              <w:top w:val="nil"/>
              <w:left w:val="single" w:sz="4" w:space="0" w:color="auto"/>
              <w:bottom w:val="nil"/>
              <w:right w:val="single" w:sz="4" w:space="0" w:color="auto"/>
            </w:tcBorders>
            <w:tcMar>
              <w:top w:w="0" w:type="dxa"/>
              <w:left w:w="2" w:type="dxa"/>
              <w:bottom w:w="0" w:type="dxa"/>
              <w:right w:w="2" w:type="dxa"/>
            </w:tcMar>
            <w:hideMark/>
          </w:tcPr>
          <w:p w14:paraId="0343343D" w14:textId="77777777" w:rsidR="005D07A6" w:rsidRDefault="00F42774">
            <w:pPr>
              <w:pStyle w:val="TA1"/>
              <w:jc w:val="right"/>
              <w:rPr>
                <w:rFonts w:eastAsiaTheme="minorEastAsia"/>
              </w:rPr>
            </w:pPr>
            <w:r>
              <w:t>1,500</w:t>
            </w:r>
          </w:p>
        </w:tc>
        <w:tc>
          <w:tcPr>
            <w:tcW w:w="1020" w:type="dxa"/>
            <w:tcBorders>
              <w:top w:val="nil"/>
              <w:left w:val="single" w:sz="4" w:space="0" w:color="auto"/>
              <w:bottom w:val="nil"/>
              <w:right w:val="single" w:sz="4" w:space="0" w:color="auto"/>
            </w:tcBorders>
            <w:tcMar>
              <w:top w:w="0" w:type="dxa"/>
              <w:left w:w="2" w:type="dxa"/>
              <w:bottom w:w="0" w:type="dxa"/>
              <w:right w:w="2" w:type="dxa"/>
            </w:tcMar>
            <w:hideMark/>
          </w:tcPr>
          <w:p w14:paraId="4437AEF9" w14:textId="77777777" w:rsidR="005D07A6" w:rsidRDefault="00F42774">
            <w:pPr>
              <w:pStyle w:val="TA1"/>
              <w:jc w:val="right"/>
              <w:rPr>
                <w:rFonts w:eastAsiaTheme="minorEastAsia"/>
              </w:rPr>
            </w:pPr>
            <w:r>
              <w:t>30 × 2 000/30 000</w:t>
            </w:r>
          </w:p>
        </w:tc>
        <w:tc>
          <w:tcPr>
            <w:tcW w:w="495" w:type="dxa"/>
            <w:tcBorders>
              <w:top w:val="nil"/>
              <w:left w:val="single" w:sz="4" w:space="0" w:color="auto"/>
              <w:bottom w:val="nil"/>
              <w:right w:val="single" w:sz="4" w:space="0" w:color="auto"/>
            </w:tcBorders>
            <w:tcMar>
              <w:top w:w="0" w:type="dxa"/>
              <w:left w:w="2" w:type="dxa"/>
              <w:bottom w:w="0" w:type="dxa"/>
              <w:right w:w="2" w:type="dxa"/>
            </w:tcMar>
            <w:hideMark/>
          </w:tcPr>
          <w:p w14:paraId="274063BF" w14:textId="77777777" w:rsidR="005D07A6" w:rsidRDefault="00F42774">
            <w:pPr>
              <w:pStyle w:val="TA1"/>
              <w:jc w:val="right"/>
              <w:rPr>
                <w:rFonts w:eastAsiaTheme="minorEastAsia"/>
              </w:rPr>
            </w:pPr>
            <w:r>
              <w:t>2,000</w:t>
            </w:r>
          </w:p>
        </w:tc>
        <w:tc>
          <w:tcPr>
            <w:tcW w:w="1020" w:type="dxa"/>
            <w:tcBorders>
              <w:top w:val="nil"/>
              <w:left w:val="single" w:sz="4" w:space="0" w:color="auto"/>
              <w:bottom w:val="nil"/>
              <w:right w:val="single" w:sz="4" w:space="0" w:color="auto"/>
            </w:tcBorders>
            <w:tcMar>
              <w:top w:w="0" w:type="dxa"/>
              <w:left w:w="2" w:type="dxa"/>
              <w:bottom w:w="0" w:type="dxa"/>
              <w:right w:w="2" w:type="dxa"/>
            </w:tcMar>
            <w:hideMark/>
          </w:tcPr>
          <w:p w14:paraId="6C3F6655" w14:textId="77777777" w:rsidR="005D07A6" w:rsidRDefault="00F42774">
            <w:pPr>
              <w:pStyle w:val="TA1"/>
              <w:jc w:val="right"/>
              <w:rPr>
                <w:rFonts w:eastAsiaTheme="minorEastAsia"/>
              </w:rPr>
            </w:pPr>
            <w:r>
              <w:t>65 × 2 000/15 000</w:t>
            </w:r>
          </w:p>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5745C3D0" w14:textId="77777777" w:rsidR="005D07A6" w:rsidRDefault="00F42774">
            <w:pPr>
              <w:pStyle w:val="TA1"/>
              <w:jc w:val="right"/>
              <w:rPr>
                <w:rFonts w:eastAsiaTheme="minorEastAsia"/>
              </w:rPr>
            </w:pPr>
            <w:r>
              <w:t>8,667</w:t>
            </w:r>
          </w:p>
        </w:tc>
      </w:tr>
      <w:tr w:rsidR="005D07A6" w14:paraId="0CDF476A" w14:textId="77777777">
        <w:tc>
          <w:tcPr>
            <w:tcW w:w="93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79221B7" w14:textId="77777777" w:rsidR="005D07A6" w:rsidRDefault="00F42774">
            <w:pPr>
              <w:pStyle w:val="TA1"/>
              <w:rPr>
                <w:rFonts w:eastAsiaTheme="minorEastAsia"/>
              </w:rPr>
            </w:pPr>
            <w:r>
              <w:t>Modèles</w:t>
            </w:r>
          </w:p>
        </w:tc>
        <w:tc>
          <w:tcPr>
            <w:tcW w:w="1065" w:type="dxa"/>
            <w:tcBorders>
              <w:top w:val="nil"/>
              <w:left w:val="single" w:sz="4" w:space="0" w:color="auto"/>
              <w:bottom w:val="nil"/>
              <w:right w:val="single" w:sz="4" w:space="0" w:color="auto"/>
            </w:tcBorders>
            <w:tcMar>
              <w:top w:w="0" w:type="dxa"/>
              <w:left w:w="2" w:type="dxa"/>
              <w:bottom w:w="0" w:type="dxa"/>
              <w:right w:w="2" w:type="dxa"/>
            </w:tcMar>
            <w:hideMark/>
          </w:tcPr>
          <w:p w14:paraId="0C240B20" w14:textId="77777777" w:rsidR="005D07A6" w:rsidRDefault="00F42774">
            <w:pPr>
              <w:pStyle w:val="TA1"/>
              <w:jc w:val="right"/>
              <w:rPr>
                <w:rFonts w:eastAsiaTheme="minorEastAsia"/>
              </w:rPr>
            </w:pPr>
            <w:r>
              <w:t>1 × 100 000/40 000</w:t>
            </w:r>
          </w:p>
        </w:tc>
        <w:tc>
          <w:tcPr>
            <w:tcW w:w="495" w:type="dxa"/>
            <w:tcBorders>
              <w:top w:val="nil"/>
              <w:left w:val="single" w:sz="4" w:space="0" w:color="auto"/>
              <w:bottom w:val="nil"/>
              <w:right w:val="single" w:sz="4" w:space="0" w:color="auto"/>
            </w:tcBorders>
            <w:tcMar>
              <w:top w:w="0" w:type="dxa"/>
              <w:left w:w="2" w:type="dxa"/>
              <w:bottom w:w="0" w:type="dxa"/>
              <w:right w:w="2" w:type="dxa"/>
            </w:tcMar>
            <w:hideMark/>
          </w:tcPr>
          <w:p w14:paraId="5DCB9374" w14:textId="77777777" w:rsidR="005D07A6" w:rsidRDefault="00F42774">
            <w:pPr>
              <w:pStyle w:val="TA1"/>
              <w:jc w:val="right"/>
              <w:rPr>
                <w:rFonts w:eastAsiaTheme="minorEastAsia"/>
              </w:rPr>
            </w:pPr>
            <w:r>
              <w:t>2,500</w:t>
            </w:r>
          </w:p>
        </w:tc>
        <w:tc>
          <w:tcPr>
            <w:tcW w:w="1020" w:type="dxa"/>
            <w:tcBorders>
              <w:top w:val="nil"/>
              <w:left w:val="single" w:sz="4" w:space="0" w:color="auto"/>
              <w:bottom w:val="nil"/>
              <w:right w:val="single" w:sz="4" w:space="0" w:color="auto"/>
            </w:tcBorders>
            <w:tcMar>
              <w:top w:w="0" w:type="dxa"/>
              <w:left w:w="2" w:type="dxa"/>
              <w:bottom w:w="0" w:type="dxa"/>
              <w:right w:w="2" w:type="dxa"/>
            </w:tcMar>
            <w:hideMark/>
          </w:tcPr>
          <w:p w14:paraId="65E4B842" w14:textId="77777777" w:rsidR="005D07A6" w:rsidRDefault="00F42774">
            <w:pPr>
              <w:pStyle w:val="TA1"/>
              <w:jc w:val="right"/>
              <w:rPr>
                <w:rFonts w:eastAsiaTheme="minorEastAsia"/>
              </w:rPr>
            </w:pPr>
            <w:r>
              <w:t>1 × 100 000/30 000</w:t>
            </w:r>
          </w:p>
        </w:tc>
        <w:tc>
          <w:tcPr>
            <w:tcW w:w="495" w:type="dxa"/>
            <w:tcBorders>
              <w:top w:val="nil"/>
              <w:left w:val="single" w:sz="4" w:space="0" w:color="auto"/>
              <w:bottom w:val="nil"/>
              <w:right w:val="single" w:sz="4" w:space="0" w:color="auto"/>
            </w:tcBorders>
            <w:tcMar>
              <w:top w:w="0" w:type="dxa"/>
              <w:left w:w="2" w:type="dxa"/>
              <w:bottom w:w="0" w:type="dxa"/>
              <w:right w:w="2" w:type="dxa"/>
            </w:tcMar>
            <w:hideMark/>
          </w:tcPr>
          <w:p w14:paraId="127DA421" w14:textId="77777777" w:rsidR="005D07A6" w:rsidRDefault="00F42774">
            <w:pPr>
              <w:pStyle w:val="TA1"/>
              <w:jc w:val="right"/>
              <w:rPr>
                <w:rFonts w:eastAsiaTheme="minorEastAsia"/>
              </w:rPr>
            </w:pPr>
            <w:r>
              <w:t>3,333</w:t>
            </w:r>
          </w:p>
        </w:tc>
        <w:tc>
          <w:tcPr>
            <w:tcW w:w="1020" w:type="dxa"/>
            <w:tcBorders>
              <w:top w:val="nil"/>
              <w:left w:val="single" w:sz="4" w:space="0" w:color="auto"/>
              <w:bottom w:val="nil"/>
              <w:right w:val="single" w:sz="4" w:space="0" w:color="auto"/>
            </w:tcBorders>
            <w:tcMar>
              <w:top w:w="0" w:type="dxa"/>
              <w:left w:w="2" w:type="dxa"/>
              <w:bottom w:w="0" w:type="dxa"/>
              <w:right w:w="2" w:type="dxa"/>
            </w:tcMar>
            <w:hideMark/>
          </w:tcPr>
          <w:p w14:paraId="790E4BE5" w14:textId="77777777" w:rsidR="005D07A6" w:rsidRDefault="00F42774">
            <w:pPr>
              <w:pStyle w:val="TA1"/>
              <w:jc w:val="right"/>
              <w:rPr>
                <w:rFonts w:eastAsiaTheme="minorEastAsia"/>
              </w:rPr>
            </w:pPr>
            <w:r>
              <w:t>1 × 100 000/15 000</w:t>
            </w:r>
          </w:p>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34827C17" w14:textId="77777777" w:rsidR="005D07A6" w:rsidRDefault="00F42774">
            <w:pPr>
              <w:pStyle w:val="TA1"/>
              <w:jc w:val="right"/>
              <w:rPr>
                <w:rFonts w:eastAsiaTheme="minorEastAsia"/>
              </w:rPr>
            </w:pPr>
            <w:r>
              <w:t>6,667</w:t>
            </w:r>
          </w:p>
        </w:tc>
      </w:tr>
      <w:tr w:rsidR="005D07A6" w14:paraId="2ADCB859" w14:textId="77777777">
        <w:tc>
          <w:tcPr>
            <w:tcW w:w="93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CC364CD" w14:textId="77777777" w:rsidR="005D07A6" w:rsidRDefault="00F42774">
            <w:pPr>
              <w:pStyle w:val="TA1"/>
              <w:rPr>
                <w:rFonts w:eastAsiaTheme="minorEastAsia"/>
              </w:rPr>
            </w:pPr>
            <w:r>
              <w:t>Poids</w:t>
            </w:r>
          </w:p>
        </w:tc>
        <w:tc>
          <w:tcPr>
            <w:tcW w:w="1065" w:type="dxa"/>
            <w:tcBorders>
              <w:top w:val="nil"/>
              <w:left w:val="single" w:sz="4" w:space="0" w:color="auto"/>
              <w:bottom w:val="nil"/>
              <w:right w:val="single" w:sz="4" w:space="0" w:color="auto"/>
            </w:tcBorders>
            <w:tcMar>
              <w:top w:w="0" w:type="dxa"/>
              <w:left w:w="2" w:type="dxa"/>
              <w:bottom w:w="0" w:type="dxa"/>
              <w:right w:w="2" w:type="dxa"/>
            </w:tcMar>
            <w:hideMark/>
          </w:tcPr>
          <w:p w14:paraId="1EFF0EA0" w14:textId="77777777" w:rsidR="005D07A6" w:rsidRDefault="00F42774">
            <w:pPr>
              <w:pStyle w:val="TA1"/>
              <w:jc w:val="right"/>
              <w:rPr>
                <w:rFonts w:eastAsiaTheme="minorEastAsia"/>
              </w:rPr>
            </w:pPr>
            <w:r>
              <w:t>48 000 × 2/40 000</w:t>
            </w:r>
          </w:p>
        </w:tc>
        <w:tc>
          <w:tcPr>
            <w:tcW w:w="495" w:type="dxa"/>
            <w:tcBorders>
              <w:top w:val="nil"/>
              <w:left w:val="single" w:sz="4" w:space="0" w:color="auto"/>
              <w:bottom w:val="nil"/>
              <w:right w:val="single" w:sz="4" w:space="0" w:color="auto"/>
            </w:tcBorders>
            <w:tcMar>
              <w:top w:w="0" w:type="dxa"/>
              <w:left w:w="2" w:type="dxa"/>
              <w:bottom w:w="0" w:type="dxa"/>
              <w:right w:w="2" w:type="dxa"/>
            </w:tcMar>
            <w:hideMark/>
          </w:tcPr>
          <w:p w14:paraId="39E0D73C" w14:textId="77777777" w:rsidR="005D07A6" w:rsidRDefault="00F42774">
            <w:pPr>
              <w:pStyle w:val="TA1"/>
              <w:jc w:val="right"/>
              <w:rPr>
                <w:rFonts w:eastAsiaTheme="minorEastAsia"/>
              </w:rPr>
            </w:pPr>
            <w:r>
              <w:t>2,400</w:t>
            </w:r>
          </w:p>
        </w:tc>
        <w:tc>
          <w:tcPr>
            <w:tcW w:w="1020" w:type="dxa"/>
            <w:tcBorders>
              <w:top w:val="nil"/>
              <w:left w:val="single" w:sz="4" w:space="0" w:color="auto"/>
              <w:bottom w:val="nil"/>
              <w:right w:val="single" w:sz="4" w:space="0" w:color="auto"/>
            </w:tcBorders>
            <w:tcMar>
              <w:top w:w="0" w:type="dxa"/>
              <w:left w:w="2" w:type="dxa"/>
              <w:bottom w:w="0" w:type="dxa"/>
              <w:right w:w="2" w:type="dxa"/>
            </w:tcMar>
            <w:hideMark/>
          </w:tcPr>
          <w:p w14:paraId="01ADDABD" w14:textId="77777777" w:rsidR="005D07A6" w:rsidRDefault="00F42774">
            <w:pPr>
              <w:pStyle w:val="TA1"/>
              <w:jc w:val="right"/>
              <w:rPr>
                <w:rFonts w:eastAsiaTheme="minorEastAsia"/>
              </w:rPr>
            </w:pPr>
            <w:r>
              <w:t>39 000 × 2/30 000</w:t>
            </w:r>
          </w:p>
        </w:tc>
        <w:tc>
          <w:tcPr>
            <w:tcW w:w="495" w:type="dxa"/>
            <w:tcBorders>
              <w:top w:val="nil"/>
              <w:left w:val="single" w:sz="4" w:space="0" w:color="auto"/>
              <w:bottom w:val="nil"/>
              <w:right w:val="single" w:sz="4" w:space="0" w:color="auto"/>
            </w:tcBorders>
            <w:tcMar>
              <w:top w:w="0" w:type="dxa"/>
              <w:left w:w="2" w:type="dxa"/>
              <w:bottom w:w="0" w:type="dxa"/>
              <w:right w:w="2" w:type="dxa"/>
            </w:tcMar>
            <w:hideMark/>
          </w:tcPr>
          <w:p w14:paraId="05AD3225" w14:textId="77777777" w:rsidR="005D07A6" w:rsidRDefault="00F42774">
            <w:pPr>
              <w:pStyle w:val="TA1"/>
              <w:jc w:val="right"/>
              <w:rPr>
                <w:rFonts w:eastAsiaTheme="minorEastAsia"/>
              </w:rPr>
            </w:pPr>
            <w:r>
              <w:t>2,600</w:t>
            </w:r>
          </w:p>
        </w:tc>
        <w:tc>
          <w:tcPr>
            <w:tcW w:w="1020" w:type="dxa"/>
            <w:tcBorders>
              <w:top w:val="nil"/>
              <w:left w:val="single" w:sz="4" w:space="0" w:color="auto"/>
              <w:bottom w:val="nil"/>
              <w:right w:val="single" w:sz="4" w:space="0" w:color="auto"/>
            </w:tcBorders>
            <w:tcMar>
              <w:top w:w="0" w:type="dxa"/>
              <w:left w:w="2" w:type="dxa"/>
              <w:bottom w:w="0" w:type="dxa"/>
              <w:right w:w="2" w:type="dxa"/>
            </w:tcMar>
            <w:hideMark/>
          </w:tcPr>
          <w:p w14:paraId="606972BC" w14:textId="77777777" w:rsidR="005D07A6" w:rsidRDefault="00F42774">
            <w:pPr>
              <w:pStyle w:val="TA1"/>
              <w:jc w:val="right"/>
              <w:rPr>
                <w:rFonts w:eastAsiaTheme="minorEastAsia"/>
              </w:rPr>
            </w:pPr>
            <w:r>
              <w:t>19 500 × 2/15 000</w:t>
            </w:r>
          </w:p>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48637718" w14:textId="77777777" w:rsidR="005D07A6" w:rsidRDefault="00F42774">
            <w:pPr>
              <w:pStyle w:val="TA1"/>
              <w:jc w:val="right"/>
              <w:rPr>
                <w:rFonts w:eastAsiaTheme="minorEastAsia"/>
              </w:rPr>
            </w:pPr>
            <w:r>
              <w:t>2,600</w:t>
            </w:r>
          </w:p>
        </w:tc>
      </w:tr>
      <w:tr w:rsidR="005D07A6" w14:paraId="39A31927" w14:textId="77777777">
        <w:tc>
          <w:tcPr>
            <w:tcW w:w="93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09905FF" w14:textId="77777777" w:rsidR="005D07A6" w:rsidRDefault="00F42774">
            <w:pPr>
              <w:pStyle w:val="TA1"/>
              <w:rPr>
                <w:rFonts w:eastAsiaTheme="minorEastAsia"/>
              </w:rPr>
            </w:pPr>
            <w:r>
              <w:t>Temps machine</w:t>
            </w:r>
          </w:p>
        </w:tc>
        <w:tc>
          <w:tcPr>
            <w:tcW w:w="1065" w:type="dxa"/>
            <w:tcBorders>
              <w:top w:val="nil"/>
              <w:left w:val="single" w:sz="4" w:space="0" w:color="auto"/>
              <w:bottom w:val="nil"/>
              <w:right w:val="single" w:sz="4" w:space="0" w:color="auto"/>
            </w:tcBorders>
            <w:tcMar>
              <w:top w:w="0" w:type="dxa"/>
              <w:left w:w="2" w:type="dxa"/>
              <w:bottom w:w="0" w:type="dxa"/>
              <w:right w:w="2" w:type="dxa"/>
            </w:tcMar>
            <w:hideMark/>
          </w:tcPr>
          <w:p w14:paraId="3987F568" w14:textId="77777777" w:rsidR="005D07A6" w:rsidRDefault="00F42774">
            <w:pPr>
              <w:pStyle w:val="TA1"/>
              <w:jc w:val="right"/>
              <w:rPr>
                <w:rFonts w:eastAsiaTheme="minorEastAsia"/>
              </w:rPr>
            </w:pPr>
            <w:r>
              <w:t>120 000 × 3/40 000</w:t>
            </w:r>
          </w:p>
        </w:tc>
        <w:tc>
          <w:tcPr>
            <w:tcW w:w="49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FDE74AB" w14:textId="77777777" w:rsidR="005D07A6" w:rsidRDefault="00F42774">
            <w:pPr>
              <w:pStyle w:val="TA1"/>
              <w:jc w:val="right"/>
              <w:rPr>
                <w:rFonts w:eastAsiaTheme="minorEastAsia"/>
              </w:rPr>
            </w:pPr>
            <w:r>
              <w:t>9,000</w:t>
            </w:r>
          </w:p>
        </w:tc>
        <w:tc>
          <w:tcPr>
            <w:tcW w:w="1020" w:type="dxa"/>
            <w:tcBorders>
              <w:top w:val="nil"/>
              <w:left w:val="single" w:sz="4" w:space="0" w:color="auto"/>
              <w:bottom w:val="nil"/>
              <w:right w:val="single" w:sz="4" w:space="0" w:color="auto"/>
            </w:tcBorders>
            <w:tcMar>
              <w:top w:w="0" w:type="dxa"/>
              <w:left w:w="2" w:type="dxa"/>
              <w:bottom w:w="0" w:type="dxa"/>
              <w:right w:w="2" w:type="dxa"/>
            </w:tcMar>
            <w:hideMark/>
          </w:tcPr>
          <w:p w14:paraId="042E8E74" w14:textId="77777777" w:rsidR="005D07A6" w:rsidRDefault="00F42774">
            <w:pPr>
              <w:pStyle w:val="TA1"/>
              <w:jc w:val="right"/>
              <w:rPr>
                <w:rFonts w:eastAsiaTheme="minorEastAsia"/>
              </w:rPr>
            </w:pPr>
            <w:r>
              <w:t>50 000 × 3/30 000</w:t>
            </w:r>
          </w:p>
        </w:tc>
        <w:tc>
          <w:tcPr>
            <w:tcW w:w="49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91BB2D0" w14:textId="77777777" w:rsidR="005D07A6" w:rsidRDefault="00F42774">
            <w:pPr>
              <w:pStyle w:val="TA1"/>
              <w:jc w:val="right"/>
              <w:rPr>
                <w:rFonts w:eastAsiaTheme="minorEastAsia"/>
              </w:rPr>
            </w:pPr>
            <w:r>
              <w:t>5,000</w:t>
            </w:r>
          </w:p>
        </w:tc>
        <w:tc>
          <w:tcPr>
            <w:tcW w:w="1020" w:type="dxa"/>
            <w:tcBorders>
              <w:top w:val="nil"/>
              <w:left w:val="single" w:sz="4" w:space="0" w:color="auto"/>
              <w:bottom w:val="nil"/>
              <w:right w:val="single" w:sz="4" w:space="0" w:color="auto"/>
            </w:tcBorders>
            <w:tcMar>
              <w:top w:w="0" w:type="dxa"/>
              <w:left w:w="2" w:type="dxa"/>
              <w:bottom w:w="0" w:type="dxa"/>
              <w:right w:w="2" w:type="dxa"/>
            </w:tcMar>
            <w:hideMark/>
          </w:tcPr>
          <w:p w14:paraId="06A791A9" w14:textId="77777777" w:rsidR="005D07A6" w:rsidRDefault="00F42774">
            <w:pPr>
              <w:pStyle w:val="TA1"/>
              <w:jc w:val="right"/>
              <w:rPr>
                <w:rFonts w:eastAsiaTheme="minorEastAsia"/>
              </w:rPr>
            </w:pPr>
            <w:r>
              <w:t>30 000 × 3/15 000</w:t>
            </w:r>
          </w:p>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58BA76E" w14:textId="77777777" w:rsidR="005D07A6" w:rsidRDefault="00F42774">
            <w:pPr>
              <w:pStyle w:val="TA1"/>
              <w:jc w:val="right"/>
              <w:rPr>
                <w:rFonts w:eastAsiaTheme="minorEastAsia"/>
              </w:rPr>
            </w:pPr>
            <w:r>
              <w:t>6,000</w:t>
            </w:r>
          </w:p>
        </w:tc>
      </w:tr>
      <w:tr w:rsidR="005D07A6" w14:paraId="3E75B963" w14:textId="77777777">
        <w:tc>
          <w:tcPr>
            <w:tcW w:w="93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108C01D" w14:textId="77777777" w:rsidR="005D07A6" w:rsidRDefault="00F42774">
            <w:pPr>
              <w:pStyle w:val="TA1"/>
              <w:rPr>
                <w:rFonts w:eastAsiaTheme="minorEastAsia"/>
              </w:rPr>
            </w:pPr>
            <w:r>
              <w:t>Coût ajouté</w:t>
            </w:r>
            <w:r>
              <w:rPr>
                <w:rStyle w:val="TaAppelNote"/>
              </w:rPr>
              <w:t>(3)</w:t>
            </w:r>
          </w:p>
        </w:tc>
        <w:tc>
          <w:tcPr>
            <w:tcW w:w="1065" w:type="dxa"/>
            <w:tcBorders>
              <w:top w:val="nil"/>
              <w:left w:val="single" w:sz="4" w:space="0" w:color="auto"/>
              <w:bottom w:val="nil"/>
              <w:right w:val="single" w:sz="4" w:space="0" w:color="auto"/>
            </w:tcBorders>
            <w:tcMar>
              <w:top w:w="0" w:type="dxa"/>
              <w:left w:w="2" w:type="dxa"/>
              <w:bottom w:w="0" w:type="dxa"/>
              <w:right w:w="2" w:type="dxa"/>
            </w:tcMar>
            <w:hideMark/>
          </w:tcPr>
          <w:p w14:paraId="07BEF54D" w14:textId="77777777" w:rsidR="005D07A6" w:rsidRDefault="005D07A6"/>
        </w:tc>
        <w:tc>
          <w:tcPr>
            <w:tcW w:w="49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3D53981" w14:textId="77777777" w:rsidR="005D07A6" w:rsidRDefault="00F42774">
            <w:pPr>
              <w:pStyle w:val="TA1"/>
              <w:jc w:val="right"/>
              <w:rPr>
                <w:rFonts w:eastAsiaTheme="minorEastAsia"/>
              </w:rPr>
            </w:pPr>
            <w:r>
              <w:t>18,050</w:t>
            </w:r>
          </w:p>
        </w:tc>
        <w:tc>
          <w:tcPr>
            <w:tcW w:w="1020" w:type="dxa"/>
            <w:tcBorders>
              <w:top w:val="nil"/>
              <w:left w:val="single" w:sz="4" w:space="0" w:color="auto"/>
              <w:bottom w:val="nil"/>
              <w:right w:val="single" w:sz="4" w:space="0" w:color="auto"/>
            </w:tcBorders>
            <w:tcMar>
              <w:top w:w="0" w:type="dxa"/>
              <w:left w:w="2" w:type="dxa"/>
              <w:bottom w:w="0" w:type="dxa"/>
              <w:right w:w="2" w:type="dxa"/>
            </w:tcMar>
            <w:hideMark/>
          </w:tcPr>
          <w:p w14:paraId="660BDBFC" w14:textId="77777777" w:rsidR="005D07A6" w:rsidRDefault="005D07A6"/>
        </w:tc>
        <w:tc>
          <w:tcPr>
            <w:tcW w:w="49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0032F61" w14:textId="77777777" w:rsidR="005D07A6" w:rsidRDefault="00F42774">
            <w:pPr>
              <w:pStyle w:val="TA1"/>
              <w:jc w:val="right"/>
              <w:rPr>
                <w:rFonts w:eastAsiaTheme="minorEastAsia"/>
              </w:rPr>
            </w:pPr>
            <w:r>
              <w:t>15,680</w:t>
            </w:r>
          </w:p>
        </w:tc>
        <w:tc>
          <w:tcPr>
            <w:tcW w:w="1020" w:type="dxa"/>
            <w:tcBorders>
              <w:top w:val="nil"/>
              <w:left w:val="single" w:sz="4" w:space="0" w:color="auto"/>
              <w:bottom w:val="nil"/>
              <w:right w:val="single" w:sz="4" w:space="0" w:color="auto"/>
            </w:tcBorders>
            <w:tcMar>
              <w:top w:w="0" w:type="dxa"/>
              <w:left w:w="2" w:type="dxa"/>
              <w:bottom w:w="0" w:type="dxa"/>
              <w:right w:w="2" w:type="dxa"/>
            </w:tcMar>
            <w:hideMark/>
          </w:tcPr>
          <w:p w14:paraId="453D9E77" w14:textId="77777777" w:rsidR="005D07A6" w:rsidRDefault="005D07A6"/>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7F50961" w14:textId="77777777" w:rsidR="005D07A6" w:rsidRDefault="00F42774">
            <w:pPr>
              <w:pStyle w:val="TA1"/>
              <w:jc w:val="right"/>
              <w:rPr>
                <w:rFonts w:eastAsiaTheme="minorEastAsia"/>
              </w:rPr>
            </w:pPr>
            <w:r>
              <w:t>30,207</w:t>
            </w:r>
          </w:p>
        </w:tc>
      </w:tr>
      <w:tr w:rsidR="005D07A6" w14:paraId="593A54B5" w14:textId="77777777">
        <w:tc>
          <w:tcPr>
            <w:tcW w:w="93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555DB10" w14:textId="77777777" w:rsidR="005D07A6" w:rsidRDefault="00F42774">
            <w:pPr>
              <w:pStyle w:val="TA1"/>
              <w:rPr>
                <w:rFonts w:eastAsiaTheme="minorEastAsia"/>
              </w:rPr>
            </w:pPr>
            <w:r>
              <w:t>Administration</w:t>
            </w:r>
          </w:p>
        </w:tc>
        <w:tc>
          <w:tcPr>
            <w:tcW w:w="1065" w:type="dxa"/>
            <w:tcBorders>
              <w:top w:val="nil"/>
              <w:left w:val="single" w:sz="4" w:space="0" w:color="auto"/>
              <w:bottom w:val="nil"/>
              <w:right w:val="single" w:sz="4" w:space="0" w:color="auto"/>
            </w:tcBorders>
            <w:tcMar>
              <w:top w:w="0" w:type="dxa"/>
              <w:left w:w="2" w:type="dxa"/>
              <w:bottom w:w="0" w:type="dxa"/>
              <w:right w:w="2" w:type="dxa"/>
            </w:tcMar>
            <w:hideMark/>
          </w:tcPr>
          <w:p w14:paraId="09C1D553" w14:textId="77777777" w:rsidR="005D07A6" w:rsidRDefault="00F42774">
            <w:pPr>
              <w:pStyle w:val="TA1"/>
              <w:jc w:val="right"/>
              <w:rPr>
                <w:rFonts w:eastAsiaTheme="minorEastAsia"/>
              </w:rPr>
            </w:pPr>
            <w:r>
              <w:t>18,050 × 0,1</w:t>
            </w:r>
          </w:p>
        </w:tc>
        <w:tc>
          <w:tcPr>
            <w:tcW w:w="495" w:type="dxa"/>
            <w:tcBorders>
              <w:top w:val="nil"/>
              <w:left w:val="single" w:sz="4" w:space="0" w:color="auto"/>
              <w:bottom w:val="nil"/>
              <w:right w:val="single" w:sz="4" w:space="0" w:color="auto"/>
            </w:tcBorders>
            <w:tcMar>
              <w:top w:w="0" w:type="dxa"/>
              <w:left w:w="2" w:type="dxa"/>
              <w:bottom w:w="0" w:type="dxa"/>
              <w:right w:w="2" w:type="dxa"/>
            </w:tcMar>
            <w:hideMark/>
          </w:tcPr>
          <w:p w14:paraId="6C2182D4" w14:textId="77777777" w:rsidR="005D07A6" w:rsidRDefault="00F42774">
            <w:pPr>
              <w:pStyle w:val="TA1"/>
              <w:jc w:val="right"/>
              <w:rPr>
                <w:rFonts w:eastAsiaTheme="minorEastAsia"/>
              </w:rPr>
            </w:pPr>
            <w:r>
              <w:t>1,805</w:t>
            </w:r>
          </w:p>
        </w:tc>
        <w:tc>
          <w:tcPr>
            <w:tcW w:w="1020" w:type="dxa"/>
            <w:tcBorders>
              <w:top w:val="nil"/>
              <w:left w:val="single" w:sz="4" w:space="0" w:color="auto"/>
              <w:bottom w:val="nil"/>
              <w:right w:val="single" w:sz="4" w:space="0" w:color="auto"/>
            </w:tcBorders>
            <w:tcMar>
              <w:top w:w="0" w:type="dxa"/>
              <w:left w:w="2" w:type="dxa"/>
              <w:bottom w:w="0" w:type="dxa"/>
              <w:right w:w="2" w:type="dxa"/>
            </w:tcMar>
            <w:hideMark/>
          </w:tcPr>
          <w:p w14:paraId="5CA4E943" w14:textId="77777777" w:rsidR="005D07A6" w:rsidRDefault="00F42774">
            <w:pPr>
              <w:pStyle w:val="TA1"/>
              <w:jc w:val="right"/>
              <w:rPr>
                <w:rFonts w:eastAsiaTheme="minorEastAsia"/>
              </w:rPr>
            </w:pPr>
            <w:r>
              <w:t>15,680 × 0,1</w:t>
            </w:r>
          </w:p>
        </w:tc>
        <w:tc>
          <w:tcPr>
            <w:tcW w:w="495" w:type="dxa"/>
            <w:tcBorders>
              <w:top w:val="nil"/>
              <w:left w:val="single" w:sz="4" w:space="0" w:color="auto"/>
              <w:bottom w:val="nil"/>
              <w:right w:val="single" w:sz="4" w:space="0" w:color="auto"/>
            </w:tcBorders>
            <w:tcMar>
              <w:top w:w="0" w:type="dxa"/>
              <w:left w:w="2" w:type="dxa"/>
              <w:bottom w:w="0" w:type="dxa"/>
              <w:right w:w="2" w:type="dxa"/>
            </w:tcMar>
            <w:hideMark/>
          </w:tcPr>
          <w:p w14:paraId="3D959F0F" w14:textId="77777777" w:rsidR="005D07A6" w:rsidRDefault="00F42774">
            <w:pPr>
              <w:pStyle w:val="TA1"/>
              <w:jc w:val="right"/>
              <w:rPr>
                <w:rFonts w:eastAsiaTheme="minorEastAsia"/>
              </w:rPr>
            </w:pPr>
            <w:r>
              <w:t>1,568</w:t>
            </w:r>
          </w:p>
        </w:tc>
        <w:tc>
          <w:tcPr>
            <w:tcW w:w="1020" w:type="dxa"/>
            <w:tcBorders>
              <w:top w:val="nil"/>
              <w:left w:val="single" w:sz="4" w:space="0" w:color="auto"/>
              <w:bottom w:val="nil"/>
              <w:right w:val="single" w:sz="4" w:space="0" w:color="auto"/>
            </w:tcBorders>
            <w:tcMar>
              <w:top w:w="0" w:type="dxa"/>
              <w:left w:w="2" w:type="dxa"/>
              <w:bottom w:w="0" w:type="dxa"/>
              <w:right w:w="2" w:type="dxa"/>
            </w:tcMar>
            <w:hideMark/>
          </w:tcPr>
          <w:p w14:paraId="3003D59F" w14:textId="77777777" w:rsidR="005D07A6" w:rsidRDefault="00F42774">
            <w:pPr>
              <w:pStyle w:val="TA1"/>
              <w:jc w:val="right"/>
              <w:rPr>
                <w:rFonts w:eastAsiaTheme="minorEastAsia"/>
              </w:rPr>
            </w:pPr>
            <w:r>
              <w:t>30,207 × 0,1</w:t>
            </w:r>
          </w:p>
        </w:tc>
        <w:tc>
          <w:tcPr>
            <w:tcW w:w="525" w:type="dxa"/>
            <w:tcBorders>
              <w:top w:val="nil"/>
              <w:left w:val="single" w:sz="4" w:space="0" w:color="auto"/>
              <w:bottom w:val="nil"/>
              <w:right w:val="single" w:sz="4" w:space="0" w:color="auto"/>
            </w:tcBorders>
            <w:tcMar>
              <w:top w:w="0" w:type="dxa"/>
              <w:left w:w="2" w:type="dxa"/>
              <w:bottom w:w="0" w:type="dxa"/>
              <w:right w:w="2" w:type="dxa"/>
            </w:tcMar>
            <w:hideMark/>
          </w:tcPr>
          <w:p w14:paraId="1E270011" w14:textId="77777777" w:rsidR="005D07A6" w:rsidRDefault="00F42774">
            <w:pPr>
              <w:pStyle w:val="TA1"/>
              <w:jc w:val="right"/>
              <w:rPr>
                <w:rFonts w:eastAsiaTheme="minorEastAsia"/>
              </w:rPr>
            </w:pPr>
            <w:r>
              <w:t>3,021</w:t>
            </w:r>
          </w:p>
        </w:tc>
      </w:tr>
      <w:tr w:rsidR="005D07A6" w14:paraId="4968F1B7" w14:textId="77777777">
        <w:tc>
          <w:tcPr>
            <w:tcW w:w="93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DD07700" w14:textId="77777777" w:rsidR="005D07A6" w:rsidRDefault="00F42774">
            <w:pPr>
              <w:pStyle w:val="TA1"/>
              <w:rPr>
                <w:rFonts w:eastAsiaTheme="minorEastAsia"/>
              </w:rPr>
            </w:pPr>
            <w:r>
              <w:t>Coût direct</w:t>
            </w:r>
          </w:p>
        </w:tc>
        <w:tc>
          <w:tcPr>
            <w:tcW w:w="10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31720D46" w14:textId="77777777" w:rsidR="005D07A6" w:rsidRDefault="005D07A6"/>
        </w:tc>
        <w:tc>
          <w:tcPr>
            <w:tcW w:w="49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F73FAD6" w14:textId="77777777" w:rsidR="005D07A6" w:rsidRDefault="00F42774">
            <w:pPr>
              <w:pStyle w:val="TA1"/>
              <w:jc w:val="right"/>
              <w:rPr>
                <w:rFonts w:eastAsiaTheme="minorEastAsia"/>
              </w:rPr>
            </w:pPr>
            <w:r>
              <w:t>66,000</w:t>
            </w:r>
          </w:p>
        </w:tc>
        <w:tc>
          <w:tcPr>
            <w:tcW w:w="10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F6ADDBA" w14:textId="77777777" w:rsidR="005D07A6" w:rsidRDefault="005D07A6"/>
        </w:tc>
        <w:tc>
          <w:tcPr>
            <w:tcW w:w="49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1C8F751" w14:textId="77777777" w:rsidR="005D07A6" w:rsidRDefault="00F42774">
            <w:pPr>
              <w:pStyle w:val="TA1"/>
              <w:jc w:val="right"/>
              <w:rPr>
                <w:rFonts w:eastAsiaTheme="minorEastAsia"/>
              </w:rPr>
            </w:pPr>
            <w:r>
              <w:t>94,000</w:t>
            </w:r>
          </w:p>
        </w:tc>
        <w:tc>
          <w:tcPr>
            <w:tcW w:w="10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5C4DAF4" w14:textId="77777777" w:rsidR="005D07A6" w:rsidRDefault="005D07A6"/>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C10BE80" w14:textId="77777777" w:rsidR="005D07A6" w:rsidRDefault="00F42774">
            <w:pPr>
              <w:pStyle w:val="TA1"/>
              <w:jc w:val="right"/>
              <w:rPr>
                <w:rFonts w:eastAsiaTheme="minorEastAsia"/>
              </w:rPr>
            </w:pPr>
            <w:r>
              <w:t>145,000</w:t>
            </w:r>
          </w:p>
        </w:tc>
      </w:tr>
      <w:tr w:rsidR="005D07A6" w14:paraId="67D64A5E" w14:textId="77777777">
        <w:tc>
          <w:tcPr>
            <w:tcW w:w="93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A0DE2AE" w14:textId="77777777" w:rsidR="005D07A6" w:rsidRDefault="00F42774">
            <w:pPr>
              <w:pStyle w:val="TA1"/>
              <w:rPr>
                <w:rFonts w:eastAsiaTheme="minorEastAsia"/>
              </w:rPr>
            </w:pPr>
            <w:r>
              <w:t>Coût de revient</w:t>
            </w:r>
          </w:p>
        </w:tc>
        <w:tc>
          <w:tcPr>
            <w:tcW w:w="106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1BE07F3" w14:textId="77777777" w:rsidR="005D07A6" w:rsidRDefault="005D07A6"/>
        </w:tc>
        <w:tc>
          <w:tcPr>
            <w:tcW w:w="49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243CDD7" w14:textId="77777777" w:rsidR="005D07A6" w:rsidRDefault="00F42774">
            <w:pPr>
              <w:pStyle w:val="TA1"/>
              <w:jc w:val="right"/>
              <w:rPr>
                <w:rFonts w:eastAsiaTheme="minorEastAsia"/>
              </w:rPr>
            </w:pPr>
            <w:r>
              <w:t>85,855</w:t>
            </w:r>
          </w:p>
        </w:tc>
        <w:tc>
          <w:tcPr>
            <w:tcW w:w="10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E3CA5C6" w14:textId="77777777" w:rsidR="005D07A6" w:rsidRDefault="005D07A6"/>
        </w:tc>
        <w:tc>
          <w:tcPr>
            <w:tcW w:w="49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7B04949" w14:textId="77777777" w:rsidR="005D07A6" w:rsidRDefault="00F42774">
            <w:pPr>
              <w:pStyle w:val="TA1"/>
              <w:jc w:val="right"/>
              <w:rPr>
                <w:rFonts w:eastAsiaTheme="minorEastAsia"/>
              </w:rPr>
            </w:pPr>
            <w:r>
              <w:t>111,248</w:t>
            </w:r>
          </w:p>
        </w:tc>
        <w:tc>
          <w:tcPr>
            <w:tcW w:w="1020"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50F863BD" w14:textId="77777777" w:rsidR="005D07A6" w:rsidRDefault="005D07A6"/>
        </w:tc>
        <w:tc>
          <w:tcPr>
            <w:tcW w:w="52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64172AEA" w14:textId="77777777" w:rsidR="005D07A6" w:rsidRDefault="00F42774">
            <w:pPr>
              <w:pStyle w:val="TA1"/>
              <w:jc w:val="right"/>
              <w:rPr>
                <w:rFonts w:eastAsiaTheme="minorEastAsia"/>
              </w:rPr>
            </w:pPr>
            <w:r>
              <w:t>178,228</w:t>
            </w:r>
          </w:p>
        </w:tc>
      </w:tr>
      <w:tr w:rsidR="005D07A6" w14:paraId="4EFEBD64" w14:textId="77777777">
        <w:tc>
          <w:tcPr>
            <w:tcW w:w="93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2EFDF8D" w14:textId="77777777" w:rsidR="005D07A6" w:rsidRDefault="00F42774">
            <w:pPr>
              <w:pStyle w:val="TA1"/>
              <w:rPr>
                <w:rFonts w:eastAsiaTheme="minorEastAsia"/>
              </w:rPr>
            </w:pPr>
            <w:r>
              <w:t>Prix de vente</w:t>
            </w:r>
          </w:p>
        </w:tc>
        <w:tc>
          <w:tcPr>
            <w:tcW w:w="106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75FF12C" w14:textId="77777777" w:rsidR="005D07A6" w:rsidRDefault="005D07A6"/>
        </w:tc>
        <w:tc>
          <w:tcPr>
            <w:tcW w:w="49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66B413BA" w14:textId="77777777" w:rsidR="005D07A6" w:rsidRDefault="00F42774">
            <w:pPr>
              <w:pStyle w:val="TA1"/>
              <w:jc w:val="right"/>
              <w:rPr>
                <w:rFonts w:eastAsiaTheme="minorEastAsia"/>
              </w:rPr>
            </w:pPr>
            <w:r>
              <w:t>89,000</w:t>
            </w:r>
          </w:p>
        </w:tc>
        <w:tc>
          <w:tcPr>
            <w:tcW w:w="10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565B23F" w14:textId="77777777" w:rsidR="005D07A6" w:rsidRDefault="005D07A6"/>
        </w:tc>
        <w:tc>
          <w:tcPr>
            <w:tcW w:w="49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4973CF09" w14:textId="77777777" w:rsidR="005D07A6" w:rsidRDefault="00F42774">
            <w:pPr>
              <w:pStyle w:val="TA1"/>
              <w:jc w:val="right"/>
              <w:rPr>
                <w:rFonts w:eastAsiaTheme="minorEastAsia"/>
              </w:rPr>
            </w:pPr>
            <w:r>
              <w:t>115,000</w:t>
            </w:r>
          </w:p>
        </w:tc>
        <w:tc>
          <w:tcPr>
            <w:tcW w:w="1020"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7ADA764A" w14:textId="77777777" w:rsidR="005D07A6" w:rsidRDefault="005D07A6"/>
        </w:tc>
        <w:tc>
          <w:tcPr>
            <w:tcW w:w="52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9F8F5E9" w14:textId="77777777" w:rsidR="005D07A6" w:rsidRDefault="00F42774">
            <w:pPr>
              <w:pStyle w:val="TA1"/>
              <w:jc w:val="right"/>
              <w:rPr>
                <w:rFonts w:eastAsiaTheme="minorEastAsia"/>
              </w:rPr>
            </w:pPr>
            <w:r>
              <w:t>180,000</w:t>
            </w:r>
          </w:p>
        </w:tc>
      </w:tr>
      <w:tr w:rsidR="005D07A6" w14:paraId="77D0A53D" w14:textId="77777777">
        <w:tc>
          <w:tcPr>
            <w:tcW w:w="93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DB485B0" w14:textId="77777777" w:rsidR="005D07A6" w:rsidRDefault="00F42774">
            <w:pPr>
              <w:pStyle w:val="TA1"/>
              <w:rPr>
                <w:rFonts w:eastAsiaTheme="minorEastAsia"/>
              </w:rPr>
            </w:pPr>
            <w:r>
              <w:t>Résultat unitaire</w:t>
            </w:r>
          </w:p>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1797B0B"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C722120" w14:textId="77777777" w:rsidR="005D07A6" w:rsidRDefault="00F42774">
            <w:pPr>
              <w:pStyle w:val="TA1"/>
              <w:jc w:val="right"/>
              <w:rPr>
                <w:rFonts w:eastAsiaTheme="minorEastAsia"/>
              </w:rPr>
            </w:pPr>
            <w:r>
              <w:t>3,145</w:t>
            </w:r>
          </w:p>
        </w:tc>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16D9114"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3639EE8" w14:textId="77777777" w:rsidR="005D07A6" w:rsidRDefault="00F42774">
            <w:pPr>
              <w:pStyle w:val="TA1"/>
              <w:jc w:val="right"/>
              <w:rPr>
                <w:rFonts w:eastAsiaTheme="minorEastAsia"/>
              </w:rPr>
            </w:pPr>
            <w:r>
              <w:t>3,752</w:t>
            </w:r>
          </w:p>
        </w:tc>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FD400AC"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32AB0E1" w14:textId="77777777" w:rsidR="005D07A6" w:rsidRDefault="00F42774">
            <w:pPr>
              <w:pStyle w:val="TA1"/>
              <w:jc w:val="right"/>
              <w:rPr>
                <w:rFonts w:eastAsiaTheme="minorEastAsia"/>
              </w:rPr>
            </w:pPr>
            <w:r>
              <w:t>1,772</w:t>
            </w:r>
          </w:p>
        </w:tc>
      </w:tr>
      <w:tr w:rsidR="005D07A6" w14:paraId="0167E986" w14:textId="77777777">
        <w:tc>
          <w:tcPr>
            <w:tcW w:w="93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A601EE2" w14:textId="77777777" w:rsidR="005D07A6" w:rsidRDefault="00F42774">
            <w:pPr>
              <w:pStyle w:val="TA1"/>
              <w:rPr>
                <w:rFonts w:eastAsiaTheme="minorEastAsia"/>
              </w:rPr>
            </w:pPr>
            <w:r>
              <w:t>Résultat total</w:t>
            </w:r>
          </w:p>
        </w:tc>
        <w:tc>
          <w:tcPr>
            <w:tcW w:w="106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48D722E"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16243BF" w14:textId="77777777" w:rsidR="005D07A6" w:rsidRDefault="00F42774">
            <w:pPr>
              <w:pStyle w:val="TA1"/>
              <w:jc w:val="right"/>
              <w:rPr>
                <w:rFonts w:eastAsiaTheme="minorEastAsia"/>
              </w:rPr>
            </w:pPr>
            <w:r>
              <w:t>125 800</w:t>
            </w:r>
          </w:p>
        </w:tc>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1CDEC19" w14:textId="77777777" w:rsidR="005D07A6" w:rsidRDefault="005D07A6"/>
        </w:tc>
        <w:tc>
          <w:tcPr>
            <w:tcW w:w="49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3E762B5" w14:textId="77777777" w:rsidR="005D07A6" w:rsidRDefault="00F42774">
            <w:pPr>
              <w:pStyle w:val="TA1"/>
              <w:jc w:val="right"/>
              <w:rPr>
                <w:rFonts w:eastAsiaTheme="minorEastAsia"/>
              </w:rPr>
            </w:pPr>
            <w:r>
              <w:t>112 560</w:t>
            </w:r>
          </w:p>
        </w:tc>
        <w:tc>
          <w:tcPr>
            <w:tcW w:w="10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EC29B9C"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AD8920E" w14:textId="77777777" w:rsidR="005D07A6" w:rsidRDefault="00F42774">
            <w:pPr>
              <w:pStyle w:val="TA1"/>
              <w:jc w:val="right"/>
              <w:rPr>
                <w:rFonts w:eastAsiaTheme="minorEastAsia"/>
              </w:rPr>
            </w:pPr>
            <w:r>
              <w:t>26 584,5</w:t>
            </w:r>
          </w:p>
        </w:tc>
      </w:tr>
    </w:tbl>
    <w:p w14:paraId="0A766345" w14:textId="77777777" w:rsidR="005D07A6" w:rsidRDefault="00F42774">
      <w:pPr>
        <w:pStyle w:val="TA3"/>
        <w:rPr>
          <w:rFonts w:eastAsiaTheme="minorEastAsia"/>
        </w:rPr>
      </w:pPr>
      <w:r>
        <w:t>1. Pour obtenir un coût unitaire, il convient de diviser par la production.</w:t>
      </w:r>
    </w:p>
    <w:p w14:paraId="7ACAFA46" w14:textId="77777777" w:rsidR="005D07A6" w:rsidRDefault="00F42774">
      <w:pPr>
        <w:pStyle w:val="TA3"/>
      </w:pPr>
      <w:r>
        <w:t>2. Lots réceptionnés de composants A, D, E, F et G pour X :</w:t>
      </w:r>
    </w:p>
    <w:p w14:paraId="57F03B37" w14:textId="77777777" w:rsidR="005D07A6" w:rsidRDefault="00F42774">
      <w:pPr>
        <w:pStyle w:val="TA3"/>
      </w:pPr>
      <w:r>
        <w:t>50 = 40 000 [(0,1/500) + (0,2/500) + (0,4/2 000) + (0,5/2 000) + (1/5 000)]</w:t>
      </w:r>
    </w:p>
    <w:p w14:paraId="361C7EE1" w14:textId="77777777" w:rsidR="005D07A6" w:rsidRDefault="00F42774">
      <w:pPr>
        <w:pStyle w:val="TA3"/>
      </w:pPr>
      <w:r>
        <w:t>50 lots à 1 000 pour 40 000 produits X.</w:t>
      </w:r>
    </w:p>
    <w:p w14:paraId="7E3C45AA" w14:textId="77777777" w:rsidR="005D07A6" w:rsidRDefault="00F42774">
      <w:pPr>
        <w:pStyle w:val="TA3"/>
      </w:pPr>
      <w:r>
        <w:t>Lots réceptionnés de composants A, C, E et G pour Y :</w:t>
      </w:r>
    </w:p>
    <w:p w14:paraId="69499958" w14:textId="77777777" w:rsidR="005D07A6" w:rsidRDefault="00F42774">
      <w:pPr>
        <w:pStyle w:val="TA3"/>
      </w:pPr>
      <w:r>
        <w:t>42 = 30 000 [(0,2/500) + (0,5/1 000) + (0,6/2 000) + (1/5 000)]</w:t>
      </w:r>
    </w:p>
    <w:p w14:paraId="478CB849" w14:textId="77777777" w:rsidR="005D07A6" w:rsidRDefault="00F42774">
      <w:pPr>
        <w:pStyle w:val="TA3"/>
      </w:pPr>
      <w:r>
        <w:t>Lots réceptionnés de composants A, B, C, D et G pour Z :</w:t>
      </w:r>
    </w:p>
    <w:p w14:paraId="7C8690E6" w14:textId="77777777" w:rsidR="005D07A6" w:rsidRDefault="00F42774">
      <w:pPr>
        <w:pStyle w:val="TA3"/>
      </w:pPr>
      <w:r>
        <w:t>33 = 15 000 [(0,1/500) + (0,3/500) + (0,6/1 000) + (0,3/500) + (1/5 000)]</w:t>
      </w:r>
    </w:p>
    <w:p w14:paraId="5171B33A" w14:textId="77777777" w:rsidR="005D07A6" w:rsidRDefault="00F42774">
      <w:pPr>
        <w:pStyle w:val="TA3"/>
      </w:pPr>
      <w:r>
        <w:t>3. Total partiel pour imputer l’administration.</w:t>
      </w:r>
    </w:p>
    <w:p w14:paraId="11F592A9" w14:textId="77777777" w:rsidR="005D07A6" w:rsidRDefault="00F42774">
      <w:pPr>
        <w:pStyle w:val="CTEspDessous"/>
      </w:pPr>
      <w:r>
        <w:t>Résultat de la société = 264 944,50 €</w:t>
      </w:r>
    </w:p>
    <w:p w14:paraId="15082807" w14:textId="77777777" w:rsidR="005D07A6" w:rsidRDefault="00F42774">
      <w:pPr>
        <w:pStyle w:val="TNiv1"/>
      </w:pPr>
      <w:r>
        <w:rPr>
          <w:rStyle w:val="RefQuestion"/>
        </w:rPr>
        <w:t>4</w:t>
      </w:r>
      <w:r>
        <w:t>. Le résultat de la société est évidemment le même (aux arrondis près) puisque seules les charges indirectes ont été imputées différemment.</w:t>
      </w:r>
    </w:p>
    <w:p w14:paraId="74F444B8" w14:textId="77777777" w:rsidR="005D07A6" w:rsidRDefault="00F42774">
      <w:pPr>
        <w:pStyle w:val="CTEspDessous"/>
      </w:pPr>
      <w:r>
        <w:t xml:space="preserve">La comparaison des coûts et des résultats montre qu’avec la méthode classique des centres d’analyse, </w:t>
      </w:r>
      <w:r>
        <w:rPr>
          <w:b/>
          <w:bCs/>
        </w:rPr>
        <w:t>les produits</w:t>
      </w:r>
      <w:r>
        <w:t xml:space="preserve"> </w:t>
      </w:r>
      <w:r>
        <w:rPr>
          <w:b/>
          <w:bCs/>
        </w:rPr>
        <w:t>X et Y subventionnaient le produit Z</w:t>
      </w:r>
      <w:r>
        <w:t xml:space="preserve"> (le coût unitaire de revient de Z augmente tandis que celui de X et, dans une moindre mesure, celui de Y diminuent).</w:t>
      </w:r>
    </w:p>
    <w:tbl>
      <w:tblPr>
        <w:tblW w:w="6481" w:type="dxa"/>
        <w:tblInd w:w="1701" w:type="dxa"/>
        <w:tblLook w:val="04A0" w:firstRow="1" w:lastRow="0" w:firstColumn="1" w:lastColumn="0" w:noHBand="0" w:noVBand="1"/>
      </w:tblPr>
      <w:tblGrid>
        <w:gridCol w:w="2581"/>
        <w:gridCol w:w="1300"/>
        <w:gridCol w:w="1300"/>
        <w:gridCol w:w="1300"/>
      </w:tblGrid>
      <w:tr w:rsidR="005D07A6" w14:paraId="55D16E3B" w14:textId="77777777">
        <w:tc>
          <w:tcPr>
            <w:tcW w:w="1935" w:type="dxa"/>
            <w:tcBorders>
              <w:top w:val="nil"/>
              <w:left w:val="nil"/>
              <w:bottom w:val="single" w:sz="4" w:space="0" w:color="auto"/>
              <w:right w:val="single" w:sz="4" w:space="0" w:color="auto"/>
            </w:tcBorders>
            <w:tcMar>
              <w:top w:w="0" w:type="dxa"/>
              <w:left w:w="2" w:type="dxa"/>
              <w:bottom w:w="0" w:type="dxa"/>
              <w:right w:w="2" w:type="dxa"/>
            </w:tcMar>
            <w:hideMark/>
          </w:tcPr>
          <w:p w14:paraId="59FD3F2D" w14:textId="77777777" w:rsidR="005D07A6" w:rsidRDefault="005D07A6"/>
        </w:tc>
        <w:tc>
          <w:tcPr>
            <w:tcW w:w="97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36D96C2" w14:textId="77777777" w:rsidR="005D07A6" w:rsidRDefault="00F42774">
            <w:pPr>
              <w:pStyle w:val="TA1"/>
              <w:jc w:val="center"/>
              <w:rPr>
                <w:rFonts w:eastAsiaTheme="minorEastAsia"/>
              </w:rPr>
            </w:pPr>
            <w:r>
              <w:rPr>
                <w:b/>
                <w:bCs/>
              </w:rPr>
              <w:t>X</w:t>
            </w:r>
          </w:p>
        </w:tc>
        <w:tc>
          <w:tcPr>
            <w:tcW w:w="97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E3D8284" w14:textId="77777777" w:rsidR="005D07A6" w:rsidRDefault="00F42774">
            <w:pPr>
              <w:pStyle w:val="TA1"/>
              <w:jc w:val="center"/>
              <w:rPr>
                <w:rFonts w:eastAsiaTheme="minorEastAsia"/>
              </w:rPr>
            </w:pPr>
            <w:r>
              <w:rPr>
                <w:b/>
                <w:bCs/>
              </w:rPr>
              <w:t>Y</w:t>
            </w:r>
          </w:p>
        </w:tc>
        <w:tc>
          <w:tcPr>
            <w:tcW w:w="97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8C4ED54" w14:textId="77777777" w:rsidR="005D07A6" w:rsidRDefault="00F42774">
            <w:pPr>
              <w:pStyle w:val="TA1"/>
              <w:jc w:val="center"/>
              <w:rPr>
                <w:rFonts w:eastAsiaTheme="minorEastAsia"/>
              </w:rPr>
            </w:pPr>
            <w:r>
              <w:rPr>
                <w:b/>
                <w:bCs/>
              </w:rPr>
              <w:t>Z</w:t>
            </w:r>
          </w:p>
        </w:tc>
      </w:tr>
      <w:tr w:rsidR="005D07A6" w14:paraId="4776561E" w14:textId="77777777">
        <w:tc>
          <w:tcPr>
            <w:tcW w:w="193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E7EA88B" w14:textId="77777777" w:rsidR="005D07A6" w:rsidRDefault="00F42774">
            <w:pPr>
              <w:pStyle w:val="TA1"/>
              <w:rPr>
                <w:rFonts w:eastAsiaTheme="minorEastAsia"/>
              </w:rPr>
            </w:pPr>
            <w:r>
              <w:t>Coût de revient ABC</w:t>
            </w:r>
          </w:p>
        </w:tc>
        <w:tc>
          <w:tcPr>
            <w:tcW w:w="9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3C14D7E7" w14:textId="77777777" w:rsidR="005D07A6" w:rsidRDefault="00F42774">
            <w:pPr>
              <w:pStyle w:val="TA1"/>
              <w:jc w:val="right"/>
              <w:rPr>
                <w:rFonts w:eastAsiaTheme="minorEastAsia"/>
              </w:rPr>
            </w:pPr>
            <w:r>
              <w:t>85,8550</w:t>
            </w:r>
          </w:p>
        </w:tc>
        <w:tc>
          <w:tcPr>
            <w:tcW w:w="9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6AB98FB" w14:textId="77777777" w:rsidR="005D07A6" w:rsidRDefault="00F42774">
            <w:pPr>
              <w:pStyle w:val="TA1"/>
              <w:jc w:val="right"/>
              <w:rPr>
                <w:rFonts w:eastAsiaTheme="minorEastAsia"/>
              </w:rPr>
            </w:pPr>
            <w:r>
              <w:t>111,2480</w:t>
            </w:r>
          </w:p>
        </w:tc>
        <w:tc>
          <w:tcPr>
            <w:tcW w:w="9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0018836B" w14:textId="77777777" w:rsidR="005D07A6" w:rsidRDefault="00F42774">
            <w:pPr>
              <w:pStyle w:val="TA1"/>
              <w:jc w:val="right"/>
              <w:rPr>
                <w:rFonts w:eastAsiaTheme="minorEastAsia"/>
              </w:rPr>
            </w:pPr>
            <w:r>
              <w:t>178,2280</w:t>
            </w:r>
          </w:p>
        </w:tc>
      </w:tr>
      <w:tr w:rsidR="005D07A6" w14:paraId="79A32AD6" w14:textId="77777777">
        <w:tc>
          <w:tcPr>
            <w:tcW w:w="193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1D2AA39" w14:textId="77777777" w:rsidR="005D07A6" w:rsidRDefault="00F42774">
            <w:pPr>
              <w:pStyle w:val="TA1"/>
              <w:rPr>
                <w:rFonts w:eastAsiaTheme="minorEastAsia"/>
              </w:rPr>
            </w:pPr>
            <w:r>
              <w:lastRenderedPageBreak/>
              <w:t>Résultat unitaire ABC</w:t>
            </w:r>
          </w:p>
        </w:tc>
        <w:tc>
          <w:tcPr>
            <w:tcW w:w="9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29D90E59" w14:textId="77777777" w:rsidR="005D07A6" w:rsidRDefault="00F42774">
            <w:pPr>
              <w:pStyle w:val="TA1"/>
              <w:jc w:val="right"/>
              <w:rPr>
                <w:rFonts w:eastAsiaTheme="minorEastAsia"/>
              </w:rPr>
            </w:pPr>
            <w:r>
              <w:t>3,1450</w:t>
            </w:r>
          </w:p>
        </w:tc>
        <w:tc>
          <w:tcPr>
            <w:tcW w:w="9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708244F" w14:textId="77777777" w:rsidR="005D07A6" w:rsidRDefault="00F42774">
            <w:pPr>
              <w:pStyle w:val="TA1"/>
              <w:jc w:val="right"/>
              <w:rPr>
                <w:rFonts w:eastAsiaTheme="minorEastAsia"/>
              </w:rPr>
            </w:pPr>
            <w:r>
              <w:t>3,7520</w:t>
            </w:r>
          </w:p>
        </w:tc>
        <w:tc>
          <w:tcPr>
            <w:tcW w:w="9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5E65921C" w14:textId="77777777" w:rsidR="005D07A6" w:rsidRDefault="00F42774">
            <w:pPr>
              <w:pStyle w:val="TA1"/>
              <w:jc w:val="right"/>
              <w:rPr>
                <w:rFonts w:eastAsiaTheme="minorEastAsia"/>
              </w:rPr>
            </w:pPr>
            <w:r>
              <w:t>1,7720</w:t>
            </w:r>
          </w:p>
        </w:tc>
      </w:tr>
      <w:tr w:rsidR="005D07A6" w14:paraId="159DF197" w14:textId="77777777">
        <w:tc>
          <w:tcPr>
            <w:tcW w:w="193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3AF5ED0" w14:textId="77777777" w:rsidR="005D07A6" w:rsidRDefault="00F42774">
            <w:pPr>
              <w:pStyle w:val="TA1"/>
              <w:rPr>
                <w:rFonts w:eastAsiaTheme="minorEastAsia"/>
              </w:rPr>
            </w:pPr>
            <w:r>
              <w:t>Coût de revient classique</w:t>
            </w:r>
          </w:p>
        </w:tc>
        <w:tc>
          <w:tcPr>
            <w:tcW w:w="9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9D509D5" w14:textId="77777777" w:rsidR="005D07A6" w:rsidRDefault="00F42774">
            <w:pPr>
              <w:pStyle w:val="TA1"/>
              <w:jc w:val="right"/>
              <w:rPr>
                <w:rFonts w:eastAsiaTheme="minorEastAsia"/>
              </w:rPr>
            </w:pPr>
            <w:r>
              <w:t>89,1407</w:t>
            </w:r>
          </w:p>
        </w:tc>
        <w:tc>
          <w:tcPr>
            <w:tcW w:w="9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7CE71A06" w14:textId="77777777" w:rsidR="005D07A6" w:rsidRDefault="00F42774">
            <w:pPr>
              <w:pStyle w:val="TA1"/>
              <w:jc w:val="right"/>
              <w:rPr>
                <w:rFonts w:eastAsiaTheme="minorEastAsia"/>
              </w:rPr>
            </w:pPr>
            <w:r>
              <w:t>112,8928</w:t>
            </w:r>
          </w:p>
        </w:tc>
        <w:tc>
          <w:tcPr>
            <w:tcW w:w="975" w:type="dxa"/>
            <w:tcBorders>
              <w:top w:val="single" w:sz="4" w:space="0" w:color="auto"/>
              <w:left w:val="single" w:sz="4" w:space="0" w:color="auto"/>
              <w:bottom w:val="nil"/>
              <w:right w:val="single" w:sz="4" w:space="0" w:color="auto"/>
            </w:tcBorders>
            <w:tcMar>
              <w:top w:w="0" w:type="dxa"/>
              <w:left w:w="2" w:type="dxa"/>
              <w:bottom w:w="0" w:type="dxa"/>
              <w:right w:w="2" w:type="dxa"/>
            </w:tcMar>
            <w:hideMark/>
          </w:tcPr>
          <w:p w14:paraId="48DE5CE1" w14:textId="77777777" w:rsidR="005D07A6" w:rsidRDefault="00F42774">
            <w:pPr>
              <w:pStyle w:val="TA1"/>
              <w:jc w:val="right"/>
              <w:rPr>
                <w:rFonts w:eastAsiaTheme="minorEastAsia"/>
              </w:rPr>
            </w:pPr>
            <w:r>
              <w:t>166,1760</w:t>
            </w:r>
          </w:p>
        </w:tc>
      </w:tr>
      <w:tr w:rsidR="005D07A6" w14:paraId="158695FE" w14:textId="77777777">
        <w:tc>
          <w:tcPr>
            <w:tcW w:w="193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749FD21" w14:textId="77777777" w:rsidR="005D07A6" w:rsidRDefault="00F42774">
            <w:pPr>
              <w:pStyle w:val="TA1"/>
              <w:rPr>
                <w:rFonts w:eastAsiaTheme="minorEastAsia"/>
              </w:rPr>
            </w:pPr>
            <w:r>
              <w:t>Résultat unitaire classique</w:t>
            </w:r>
          </w:p>
        </w:tc>
        <w:tc>
          <w:tcPr>
            <w:tcW w:w="9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C80BB93" w14:textId="77777777" w:rsidR="005D07A6" w:rsidRDefault="00F42774">
            <w:pPr>
              <w:pStyle w:val="TA1"/>
              <w:jc w:val="right"/>
              <w:rPr>
                <w:rFonts w:eastAsiaTheme="minorEastAsia"/>
              </w:rPr>
            </w:pPr>
            <w:r>
              <w:t>– 0,1407</w:t>
            </w:r>
          </w:p>
        </w:tc>
        <w:tc>
          <w:tcPr>
            <w:tcW w:w="9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11A8AF0D" w14:textId="77777777" w:rsidR="005D07A6" w:rsidRDefault="00F42774">
            <w:pPr>
              <w:pStyle w:val="TA1"/>
              <w:jc w:val="right"/>
              <w:rPr>
                <w:rFonts w:eastAsiaTheme="minorEastAsia"/>
              </w:rPr>
            </w:pPr>
            <w:r>
              <w:t>2,1072</w:t>
            </w:r>
          </w:p>
        </w:tc>
        <w:tc>
          <w:tcPr>
            <w:tcW w:w="975" w:type="dxa"/>
            <w:tcBorders>
              <w:top w:val="nil"/>
              <w:left w:val="single" w:sz="4" w:space="0" w:color="auto"/>
              <w:bottom w:val="single" w:sz="4" w:space="0" w:color="auto"/>
              <w:right w:val="single" w:sz="4" w:space="0" w:color="auto"/>
            </w:tcBorders>
            <w:tcMar>
              <w:top w:w="0" w:type="dxa"/>
              <w:left w:w="2" w:type="dxa"/>
              <w:bottom w:w="0" w:type="dxa"/>
              <w:right w:w="2" w:type="dxa"/>
            </w:tcMar>
            <w:hideMark/>
          </w:tcPr>
          <w:p w14:paraId="0F50457D" w14:textId="77777777" w:rsidR="005D07A6" w:rsidRDefault="00F42774">
            <w:pPr>
              <w:pStyle w:val="TA1"/>
              <w:jc w:val="right"/>
              <w:rPr>
                <w:rFonts w:eastAsiaTheme="minorEastAsia"/>
              </w:rPr>
            </w:pPr>
            <w:r>
              <w:t>3,8240</w:t>
            </w:r>
          </w:p>
        </w:tc>
      </w:tr>
    </w:tbl>
    <w:p w14:paraId="6734F2FC" w14:textId="77777777" w:rsidR="005D07A6" w:rsidRDefault="00F42774">
      <w:pPr>
        <w:pStyle w:val="CTEspDessous"/>
        <w:rPr>
          <w:rFonts w:eastAsiaTheme="minorEastAsia"/>
        </w:rPr>
      </w:pPr>
      <w:r>
        <w:t>En effet, les inducteurs de coûts de la méthode ABC ont permis de montrer que le produit X fabriqué en grandes séries et faible consommateur de lots subventionne le produit Z fabriqué en petites séries et consommateur de lots.</w:t>
      </w:r>
    </w:p>
    <w:p w14:paraId="755A92D9" w14:textId="77777777" w:rsidR="005D07A6" w:rsidRDefault="00F42774">
      <w:pPr>
        <w:pStyle w:val="CTEspDessous"/>
      </w:pPr>
      <w:r>
        <w:t>Le produit Z est fabriqué en petites séries et utilise 4 références. Il nécessite donc plus de manipulations, plus de frais de lancement, plus d’efforts pour gérer les références.</w:t>
      </w:r>
    </w:p>
    <w:p w14:paraId="2EC07EDA" w14:textId="77777777" w:rsidR="005D07A6" w:rsidRDefault="00F42774">
      <w:pPr>
        <w:pStyle w:val="CTEspDessous"/>
      </w:pPr>
      <w:r>
        <w:t>Le calcul de coûts avec la méthode à base d’activités permet de prendre en compte ces différences alors que la méthode classique des centres d’analyse impute les charges indirectes en fonction des volumes de production.</w:t>
      </w:r>
    </w:p>
    <w:p w14:paraId="29CF39F4" w14:textId="77777777" w:rsidR="005D07A6" w:rsidRDefault="00F42774">
      <w:pPr>
        <w:pStyle w:val="CTEspDessous"/>
      </w:pPr>
      <w:r>
        <w:t>Il ne faut donc abandonner aucun modèle. Le résultat négatif du produit X avec la méthode des centres d’analyse provenait d’une imputation volumique des charges indirectes.</w:t>
      </w:r>
    </w:p>
    <w:p w14:paraId="0DEF076E" w14:textId="77777777" w:rsidR="005D07A6" w:rsidRDefault="00F42774">
      <w:pPr>
        <w:pStyle w:val="TNiv1"/>
      </w:pPr>
      <w:r>
        <w:rPr>
          <w:rStyle w:val="RefQuestion"/>
        </w:rPr>
        <w:t>5</w:t>
      </w:r>
      <w:r>
        <w:t>. La méthode étant différente, l’imputation obtenue ne sera pas la même pour cet inducteur.</w:t>
      </w:r>
    </w:p>
    <w:tbl>
      <w:tblPr>
        <w:tblW w:w="6481" w:type="dxa"/>
        <w:tblInd w:w="1701" w:type="dxa"/>
        <w:tblLook w:val="04A0" w:firstRow="1" w:lastRow="0" w:firstColumn="1" w:lastColumn="0" w:noHBand="0" w:noVBand="1"/>
      </w:tblPr>
      <w:tblGrid>
        <w:gridCol w:w="2581"/>
        <w:gridCol w:w="1300"/>
        <w:gridCol w:w="1300"/>
        <w:gridCol w:w="1300"/>
      </w:tblGrid>
      <w:tr w:rsidR="005D07A6" w14:paraId="373D68C8" w14:textId="77777777">
        <w:tc>
          <w:tcPr>
            <w:tcW w:w="1935" w:type="dxa"/>
            <w:tcBorders>
              <w:top w:val="nil"/>
              <w:left w:val="nil"/>
              <w:bottom w:val="single" w:sz="4" w:space="0" w:color="auto"/>
              <w:right w:val="single" w:sz="4" w:space="0" w:color="auto"/>
            </w:tcBorders>
            <w:tcMar>
              <w:top w:w="0" w:type="dxa"/>
              <w:left w:w="2" w:type="dxa"/>
              <w:bottom w:w="0" w:type="dxa"/>
              <w:right w:w="2" w:type="dxa"/>
            </w:tcMar>
            <w:hideMark/>
          </w:tcPr>
          <w:p w14:paraId="25FCCCDF" w14:textId="77777777" w:rsidR="005D07A6" w:rsidRDefault="005D07A6"/>
        </w:tc>
        <w:tc>
          <w:tcPr>
            <w:tcW w:w="97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E4C4C8B" w14:textId="77777777" w:rsidR="005D07A6" w:rsidRDefault="00F42774">
            <w:pPr>
              <w:pStyle w:val="TA1"/>
              <w:jc w:val="center"/>
              <w:rPr>
                <w:rFonts w:eastAsiaTheme="minorEastAsia"/>
              </w:rPr>
            </w:pPr>
            <w:r>
              <w:rPr>
                <w:b/>
                <w:bCs/>
              </w:rPr>
              <w:t>X</w:t>
            </w:r>
          </w:p>
        </w:tc>
        <w:tc>
          <w:tcPr>
            <w:tcW w:w="97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0215FEB" w14:textId="77777777" w:rsidR="005D07A6" w:rsidRDefault="00F42774">
            <w:pPr>
              <w:pStyle w:val="TA1"/>
              <w:jc w:val="center"/>
              <w:rPr>
                <w:rFonts w:eastAsiaTheme="minorEastAsia"/>
              </w:rPr>
            </w:pPr>
            <w:r>
              <w:rPr>
                <w:b/>
                <w:bCs/>
              </w:rPr>
              <w:t>Y</w:t>
            </w:r>
          </w:p>
        </w:tc>
        <w:tc>
          <w:tcPr>
            <w:tcW w:w="97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B6971BF" w14:textId="77777777" w:rsidR="005D07A6" w:rsidRDefault="00F42774">
            <w:pPr>
              <w:pStyle w:val="TA1"/>
              <w:jc w:val="center"/>
              <w:rPr>
                <w:rFonts w:eastAsiaTheme="minorEastAsia"/>
              </w:rPr>
            </w:pPr>
            <w:r>
              <w:rPr>
                <w:b/>
                <w:bCs/>
              </w:rPr>
              <w:t>Z</w:t>
            </w:r>
          </w:p>
        </w:tc>
      </w:tr>
      <w:tr w:rsidR="005D07A6" w14:paraId="78F4A176" w14:textId="77777777">
        <w:tc>
          <w:tcPr>
            <w:tcW w:w="193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9E991F4" w14:textId="77777777" w:rsidR="005D07A6" w:rsidRDefault="00F42774">
            <w:pPr>
              <w:pStyle w:val="TA1"/>
              <w:rPr>
                <w:rFonts w:eastAsiaTheme="minorEastAsia"/>
              </w:rPr>
            </w:pPr>
            <w:r>
              <w:t>Composant A (commun à X, Y et Z)</w:t>
            </w:r>
          </w:p>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0911A8E" w14:textId="77777777" w:rsidR="005D07A6" w:rsidRDefault="00F42774">
            <w:pPr>
              <w:pStyle w:val="TA1"/>
              <w:jc w:val="center"/>
              <w:rPr>
                <w:rFonts w:eastAsiaTheme="minorEastAsia"/>
              </w:rPr>
            </w:pPr>
            <w:r>
              <w:t>1/3</w:t>
            </w:r>
          </w:p>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9B4760D" w14:textId="77777777" w:rsidR="005D07A6" w:rsidRDefault="00F42774">
            <w:pPr>
              <w:pStyle w:val="TA1"/>
              <w:jc w:val="center"/>
              <w:rPr>
                <w:rFonts w:eastAsiaTheme="minorEastAsia"/>
              </w:rPr>
            </w:pPr>
            <w:r>
              <w:t>1/3</w:t>
            </w:r>
          </w:p>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B21C0F8" w14:textId="77777777" w:rsidR="005D07A6" w:rsidRDefault="00F42774">
            <w:pPr>
              <w:pStyle w:val="TA1"/>
              <w:jc w:val="center"/>
              <w:rPr>
                <w:rFonts w:eastAsiaTheme="minorEastAsia"/>
              </w:rPr>
            </w:pPr>
            <w:r>
              <w:t>1/3</w:t>
            </w:r>
          </w:p>
        </w:tc>
      </w:tr>
      <w:tr w:rsidR="005D07A6" w14:paraId="622344B5" w14:textId="77777777">
        <w:tc>
          <w:tcPr>
            <w:tcW w:w="193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BE334FC" w14:textId="77777777" w:rsidR="005D07A6" w:rsidRDefault="00F42774">
            <w:pPr>
              <w:pStyle w:val="TA1"/>
              <w:rPr>
                <w:rFonts w:eastAsiaTheme="minorEastAsia"/>
              </w:rPr>
            </w:pPr>
            <w:r>
              <w:t>Composant B (spécifique à Z)</w:t>
            </w:r>
          </w:p>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67490F9" w14:textId="77777777" w:rsidR="005D07A6" w:rsidRDefault="005D07A6"/>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0EA69BD" w14:textId="77777777" w:rsidR="005D07A6" w:rsidRDefault="005D07A6"/>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BE743DD" w14:textId="77777777" w:rsidR="005D07A6" w:rsidRDefault="00F42774">
            <w:pPr>
              <w:pStyle w:val="TA1"/>
              <w:jc w:val="center"/>
              <w:rPr>
                <w:rFonts w:eastAsiaTheme="minorEastAsia"/>
              </w:rPr>
            </w:pPr>
            <w:r>
              <w:t>1</w:t>
            </w:r>
          </w:p>
        </w:tc>
      </w:tr>
      <w:tr w:rsidR="005D07A6" w14:paraId="1AEE356B" w14:textId="77777777">
        <w:tc>
          <w:tcPr>
            <w:tcW w:w="193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E0FC245" w14:textId="77777777" w:rsidR="005D07A6" w:rsidRDefault="00F42774">
            <w:pPr>
              <w:pStyle w:val="TA1"/>
              <w:rPr>
                <w:rFonts w:eastAsiaTheme="minorEastAsia"/>
              </w:rPr>
            </w:pPr>
            <w:r>
              <w:t>Composant C (commun à Y et Z)</w:t>
            </w:r>
          </w:p>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D9CCE32" w14:textId="77777777" w:rsidR="005D07A6" w:rsidRDefault="005D07A6"/>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39F3B31" w14:textId="77777777" w:rsidR="005D07A6" w:rsidRDefault="00F42774">
            <w:pPr>
              <w:pStyle w:val="TA1"/>
              <w:jc w:val="center"/>
              <w:rPr>
                <w:rFonts w:eastAsiaTheme="minorEastAsia"/>
              </w:rPr>
            </w:pPr>
            <w:r>
              <w:t>1/2</w:t>
            </w:r>
          </w:p>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EAE9746" w14:textId="77777777" w:rsidR="005D07A6" w:rsidRDefault="00F42774">
            <w:pPr>
              <w:pStyle w:val="TA1"/>
              <w:jc w:val="center"/>
              <w:rPr>
                <w:rFonts w:eastAsiaTheme="minorEastAsia"/>
              </w:rPr>
            </w:pPr>
            <w:r>
              <w:t>1/2</w:t>
            </w:r>
          </w:p>
        </w:tc>
      </w:tr>
      <w:tr w:rsidR="005D07A6" w14:paraId="497824F4" w14:textId="77777777">
        <w:tc>
          <w:tcPr>
            <w:tcW w:w="193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F840D4F" w14:textId="77777777" w:rsidR="005D07A6" w:rsidRDefault="00F42774">
            <w:pPr>
              <w:pStyle w:val="TA1"/>
              <w:rPr>
                <w:rFonts w:eastAsiaTheme="minorEastAsia"/>
              </w:rPr>
            </w:pPr>
            <w:r>
              <w:t>Composant D</w:t>
            </w:r>
          </w:p>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47FF5575" w14:textId="77777777" w:rsidR="005D07A6" w:rsidRDefault="00F42774">
            <w:pPr>
              <w:pStyle w:val="TA1"/>
              <w:jc w:val="center"/>
              <w:rPr>
                <w:rFonts w:eastAsiaTheme="minorEastAsia"/>
              </w:rPr>
            </w:pPr>
            <w:r>
              <w:t>1/2</w:t>
            </w:r>
          </w:p>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97E4777" w14:textId="77777777" w:rsidR="005D07A6" w:rsidRDefault="005D07A6"/>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C887186" w14:textId="77777777" w:rsidR="005D07A6" w:rsidRDefault="00F42774">
            <w:pPr>
              <w:pStyle w:val="TA1"/>
              <w:jc w:val="center"/>
              <w:rPr>
                <w:rFonts w:eastAsiaTheme="minorEastAsia"/>
              </w:rPr>
            </w:pPr>
            <w:r>
              <w:t>1/2</w:t>
            </w:r>
          </w:p>
        </w:tc>
      </w:tr>
      <w:tr w:rsidR="005D07A6" w14:paraId="1C720266" w14:textId="77777777">
        <w:tc>
          <w:tcPr>
            <w:tcW w:w="193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12E8779" w14:textId="77777777" w:rsidR="005D07A6" w:rsidRDefault="00F42774">
            <w:pPr>
              <w:pStyle w:val="TA1"/>
              <w:rPr>
                <w:rFonts w:eastAsiaTheme="minorEastAsia"/>
              </w:rPr>
            </w:pPr>
            <w:r>
              <w:t>Composant E</w:t>
            </w:r>
          </w:p>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10FF6D7" w14:textId="77777777" w:rsidR="005D07A6" w:rsidRDefault="00F42774">
            <w:pPr>
              <w:pStyle w:val="TA1"/>
              <w:jc w:val="center"/>
              <w:rPr>
                <w:rFonts w:eastAsiaTheme="minorEastAsia"/>
              </w:rPr>
            </w:pPr>
            <w:r>
              <w:t>1/2</w:t>
            </w:r>
          </w:p>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2C7D4D54" w14:textId="77777777" w:rsidR="005D07A6" w:rsidRDefault="00F42774">
            <w:pPr>
              <w:pStyle w:val="TA1"/>
              <w:jc w:val="center"/>
              <w:rPr>
                <w:rFonts w:eastAsiaTheme="minorEastAsia"/>
              </w:rPr>
            </w:pPr>
            <w:r>
              <w:t>1/2</w:t>
            </w:r>
          </w:p>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E0C6455" w14:textId="77777777" w:rsidR="005D07A6" w:rsidRDefault="005D07A6"/>
        </w:tc>
      </w:tr>
      <w:tr w:rsidR="005D07A6" w14:paraId="7A7BF7C8" w14:textId="77777777">
        <w:tc>
          <w:tcPr>
            <w:tcW w:w="193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CD2BDA6" w14:textId="77777777" w:rsidR="005D07A6" w:rsidRDefault="00F42774">
            <w:pPr>
              <w:pStyle w:val="TA1"/>
              <w:rPr>
                <w:rFonts w:eastAsiaTheme="minorEastAsia"/>
              </w:rPr>
            </w:pPr>
            <w:r>
              <w:t>Composant F</w:t>
            </w:r>
          </w:p>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1BC264CB" w14:textId="77777777" w:rsidR="005D07A6" w:rsidRDefault="00F42774">
            <w:pPr>
              <w:pStyle w:val="TA1"/>
              <w:jc w:val="center"/>
              <w:rPr>
                <w:rFonts w:eastAsiaTheme="minorEastAsia"/>
              </w:rPr>
            </w:pPr>
            <w:r>
              <w:t>1</w:t>
            </w:r>
          </w:p>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0BA19146" w14:textId="77777777" w:rsidR="005D07A6" w:rsidRDefault="005D07A6"/>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04ECF85" w14:textId="77777777" w:rsidR="005D07A6" w:rsidRDefault="005D07A6"/>
        </w:tc>
      </w:tr>
      <w:tr w:rsidR="005D07A6" w14:paraId="76CF32A9" w14:textId="77777777">
        <w:tc>
          <w:tcPr>
            <w:tcW w:w="193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0DDA507" w14:textId="77777777" w:rsidR="005D07A6" w:rsidRDefault="00F42774">
            <w:pPr>
              <w:pStyle w:val="TA1"/>
              <w:rPr>
                <w:rFonts w:eastAsiaTheme="minorEastAsia"/>
              </w:rPr>
            </w:pPr>
            <w:r>
              <w:t>Composant G (Emballages)</w:t>
            </w:r>
          </w:p>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210AA46" w14:textId="77777777" w:rsidR="005D07A6" w:rsidRDefault="00F42774">
            <w:pPr>
              <w:pStyle w:val="TA1"/>
              <w:jc w:val="center"/>
              <w:rPr>
                <w:rFonts w:eastAsiaTheme="minorEastAsia"/>
              </w:rPr>
            </w:pPr>
            <w:r>
              <w:t>1/3</w:t>
            </w:r>
          </w:p>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64612A20" w14:textId="77777777" w:rsidR="005D07A6" w:rsidRDefault="00F42774">
            <w:pPr>
              <w:pStyle w:val="TA1"/>
              <w:jc w:val="center"/>
              <w:rPr>
                <w:rFonts w:eastAsiaTheme="minorEastAsia"/>
              </w:rPr>
            </w:pPr>
            <w:r>
              <w:t>1/3</w:t>
            </w:r>
          </w:p>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7E9A0C1A" w14:textId="77777777" w:rsidR="005D07A6" w:rsidRDefault="00F42774">
            <w:pPr>
              <w:pStyle w:val="TA1"/>
              <w:jc w:val="center"/>
              <w:rPr>
                <w:rFonts w:eastAsiaTheme="minorEastAsia"/>
              </w:rPr>
            </w:pPr>
            <w:r>
              <w:t>1/3</w:t>
            </w:r>
          </w:p>
        </w:tc>
      </w:tr>
      <w:tr w:rsidR="005D07A6" w14:paraId="4E4E85F8" w14:textId="77777777">
        <w:tc>
          <w:tcPr>
            <w:tcW w:w="193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05D768EC" w14:textId="77777777" w:rsidR="005D07A6" w:rsidRDefault="00F42774">
            <w:pPr>
              <w:pStyle w:val="TA1"/>
              <w:rPr>
                <w:rFonts w:eastAsiaTheme="minorEastAsia"/>
              </w:rPr>
            </w:pPr>
            <w:r>
              <w:rPr>
                <w:b/>
                <w:bCs/>
              </w:rPr>
              <w:t>Total</w:t>
            </w:r>
          </w:p>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3E0CC06" w14:textId="77777777" w:rsidR="005D07A6" w:rsidRDefault="00F42774">
            <w:pPr>
              <w:pStyle w:val="TA1"/>
              <w:jc w:val="center"/>
              <w:rPr>
                <w:rFonts w:eastAsiaTheme="minorEastAsia"/>
              </w:rPr>
            </w:pPr>
            <w:r>
              <w:rPr>
                <w:b/>
                <w:bCs/>
              </w:rPr>
              <w:t>8/3</w:t>
            </w:r>
          </w:p>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1FFD50D" w14:textId="77777777" w:rsidR="005D07A6" w:rsidRDefault="00F42774">
            <w:pPr>
              <w:pStyle w:val="TA1"/>
              <w:jc w:val="center"/>
              <w:rPr>
                <w:rFonts w:eastAsiaTheme="minorEastAsia"/>
              </w:rPr>
            </w:pPr>
            <w:r>
              <w:rPr>
                <w:b/>
                <w:bCs/>
              </w:rPr>
              <w:t>5/3</w:t>
            </w:r>
          </w:p>
        </w:tc>
        <w:tc>
          <w:tcPr>
            <w:tcW w:w="9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E9D2984" w14:textId="77777777" w:rsidR="005D07A6" w:rsidRDefault="00F42774">
            <w:pPr>
              <w:pStyle w:val="TA1"/>
              <w:jc w:val="center"/>
              <w:rPr>
                <w:rFonts w:eastAsiaTheme="minorEastAsia"/>
              </w:rPr>
            </w:pPr>
            <w:r>
              <w:rPr>
                <w:b/>
                <w:bCs/>
              </w:rPr>
              <w:t>8/3</w:t>
            </w:r>
          </w:p>
        </w:tc>
      </w:tr>
    </w:tbl>
    <w:p w14:paraId="35764CD7" w14:textId="77777777" w:rsidR="005D07A6" w:rsidRDefault="00F42774">
      <w:pPr>
        <w:pStyle w:val="CTEspDessous"/>
        <w:rPr>
          <w:rFonts w:eastAsiaTheme="minorEastAsia"/>
        </w:rPr>
      </w:pPr>
      <w:r>
        <w:t>L’imputation unitaire du coût des références pour X serait : (14 000 × 8/3)/40 000 = 0,933</w:t>
      </w:r>
    </w:p>
    <w:p w14:paraId="166EB477" w14:textId="77777777" w:rsidR="005D07A6" w:rsidRDefault="00F42774">
      <w:pPr>
        <w:pStyle w:val="CTEspDessous"/>
      </w:pPr>
      <w:r>
        <w:t>L’imputation unitaire du coût des références pour Y serait : (14 000 × 5/3)/30 000 = 0,778</w:t>
      </w:r>
    </w:p>
    <w:p w14:paraId="300E0356" w14:textId="77777777" w:rsidR="005D07A6" w:rsidRDefault="00F42774">
      <w:pPr>
        <w:pStyle w:val="CTEspDessous"/>
      </w:pPr>
      <w:r>
        <w:t>L’imputation unitaire du coût des références pour Z serait : (14 000 × 8/3)/15 000 = 2,489</w:t>
      </w:r>
    </w:p>
    <w:p w14:paraId="24A2C65F" w14:textId="77777777" w:rsidR="005D07A6" w:rsidRDefault="00F42774">
      <w:pPr>
        <w:pStyle w:val="finfilet"/>
      </w:pPr>
      <w:r>
        <w:t>Fin Corrige</w:t>
      </w:r>
    </w:p>
    <w:p w14:paraId="13A0F2F8" w14:textId="77777777" w:rsidR="005D07A6" w:rsidRDefault="00F42774">
      <w:pPr>
        <w:pStyle w:val="finfiletr"/>
      </w:pPr>
      <w:r>
        <w:t>Fin Exercice</w:t>
      </w:r>
    </w:p>
    <w:p w14:paraId="2095E05F" w14:textId="77777777" w:rsidR="005D07A6" w:rsidRDefault="00F42774">
      <w:pPr>
        <w:pStyle w:val="finfilet"/>
      </w:pPr>
      <w:r>
        <w:t>Fin Entrainement</w:t>
      </w:r>
    </w:p>
    <w:p w14:paraId="30CD72E8" w14:textId="77777777" w:rsidR="005D07A6" w:rsidRDefault="00F42774">
      <w:pPr>
        <w:pStyle w:val="debutfiletr"/>
      </w:pPr>
      <w:r>
        <w:t>Annexes</w:t>
      </w:r>
    </w:p>
    <w:p w14:paraId="54BDF251" w14:textId="77777777" w:rsidR="005D07A6" w:rsidRDefault="00F42774">
      <w:pPr>
        <w:pStyle w:val="TitreAnnexes"/>
      </w:pPr>
      <w:r>
        <w:t>Annexes</w:t>
      </w:r>
    </w:p>
    <w:p w14:paraId="1605E492" w14:textId="77777777" w:rsidR="005D07A6" w:rsidRDefault="00F42774">
      <w:pPr>
        <w:pStyle w:val="debutfilet"/>
      </w:pPr>
      <w:r>
        <w:t>Annexe</w:t>
      </w:r>
    </w:p>
    <w:p w14:paraId="7B1E7207" w14:textId="77777777" w:rsidR="005D07A6" w:rsidRDefault="00F42774">
      <w:pPr>
        <w:pStyle w:val="LibelleRubrique"/>
      </w:pPr>
      <w:r>
        <w:t>Annexe 1</w:t>
      </w:r>
    </w:p>
    <w:p w14:paraId="5A097133" w14:textId="77777777" w:rsidR="005D07A6" w:rsidRDefault="00F42774">
      <w:pPr>
        <w:pStyle w:val="TRubriqueFin"/>
      </w:pPr>
      <w:r>
        <w:t>Comment résoudre un exercice ?</w:t>
      </w:r>
      <w:r>
        <w:br/>
        <w:t>Fiche méthodologique sur la méthode des centres d’analyse</w:t>
      </w:r>
    </w:p>
    <w:p w14:paraId="374898B4" w14:textId="77777777" w:rsidR="005D07A6" w:rsidRDefault="00F42774">
      <w:pPr>
        <w:pStyle w:val="CT"/>
      </w:pPr>
      <w:r>
        <w:t xml:space="preserve">La méthode des centres d’analyse nécessite </w:t>
      </w:r>
      <w:r>
        <w:rPr>
          <w:b/>
          <w:bCs/>
        </w:rPr>
        <w:t>sept étapes</w:t>
      </w:r>
      <w:r>
        <w:t xml:space="preserve"> successives.</w:t>
      </w:r>
    </w:p>
    <w:p w14:paraId="77170FCC" w14:textId="77777777" w:rsidR="005D07A6" w:rsidRDefault="00F42774">
      <w:pPr>
        <w:pStyle w:val="TNiv1"/>
      </w:pPr>
      <w:r>
        <w:t>1. Analyse des charges indirectes</w:t>
      </w:r>
    </w:p>
    <w:p w14:paraId="4AC60037" w14:textId="77777777" w:rsidR="005D07A6" w:rsidRDefault="00F42774">
      <w:pPr>
        <w:pStyle w:val="CT"/>
      </w:pPr>
      <w:r>
        <w:t>a. Découpage et regroupement des charges indirectes par centres d’analyse (répartition primaire).</w:t>
      </w:r>
    </w:p>
    <w:p w14:paraId="2903289B" w14:textId="77777777" w:rsidR="005D07A6" w:rsidRDefault="00F42774">
      <w:pPr>
        <w:pStyle w:val="CT"/>
      </w:pPr>
      <w:r>
        <w:t>b. Les centres auxiliaires sont répartis sur les centres principaux (répartition secondaire).</w:t>
      </w:r>
    </w:p>
    <w:p w14:paraId="793987FD" w14:textId="77777777" w:rsidR="005D07A6" w:rsidRDefault="00F42774">
      <w:pPr>
        <w:pStyle w:val="CT"/>
      </w:pPr>
      <w:r>
        <w:t>c. Les centres principaux sont imputés aux produits selon des unités d’œuvre dont il faut déterminer le coût.</w:t>
      </w:r>
    </w:p>
    <w:p w14:paraId="2F22F244" w14:textId="77777777" w:rsidR="005D07A6" w:rsidRDefault="00F42774">
      <w:pPr>
        <w:pStyle w:val="TNiv1"/>
      </w:pPr>
      <w:r>
        <w:lastRenderedPageBreak/>
        <w:t>2. Calcul des coûts d’approvisionnement</w:t>
      </w:r>
    </w:p>
    <w:p w14:paraId="6AB4F032" w14:textId="77777777" w:rsidR="005D07A6" w:rsidRDefault="00F42774">
      <w:pPr>
        <w:pStyle w:val="CT"/>
      </w:pPr>
      <w:r>
        <w:t>Charges directes et charges indirectes d’approvisionnement.</w:t>
      </w:r>
    </w:p>
    <w:p w14:paraId="3A6F91AB" w14:textId="77777777" w:rsidR="005D07A6" w:rsidRDefault="00F42774">
      <w:pPr>
        <w:pStyle w:val="TNiv1"/>
      </w:pPr>
      <w:r>
        <w:t>3. Valorisation des stocks d’approvisionnement…</w:t>
      </w:r>
    </w:p>
    <w:p w14:paraId="65342F5A" w14:textId="77777777" w:rsidR="005D07A6" w:rsidRDefault="00F42774">
      <w:pPr>
        <w:pStyle w:val="CT"/>
      </w:pPr>
      <w:r>
        <w:t>… uniquement s’il existe des stocks de matières premières ou de marchandises.</w:t>
      </w:r>
    </w:p>
    <w:p w14:paraId="1E096E8F" w14:textId="77777777" w:rsidR="005D07A6" w:rsidRDefault="00F42774">
      <w:pPr>
        <w:pStyle w:val="TNiv1"/>
      </w:pPr>
      <w:r>
        <w:t>4. Calcul des coûts de production</w:t>
      </w:r>
    </w:p>
    <w:p w14:paraId="6AE315C6" w14:textId="77777777" w:rsidR="005D07A6" w:rsidRDefault="00F42774">
      <w:pPr>
        <w:pStyle w:val="CT"/>
      </w:pPr>
      <w:r>
        <w:t>= coûts d’approvisionnement des matières consommées + charges directes et charges indirectes de production.</w:t>
      </w:r>
    </w:p>
    <w:p w14:paraId="24C7451E" w14:textId="77777777" w:rsidR="005D07A6" w:rsidRDefault="00F42774">
      <w:pPr>
        <w:pStyle w:val="TNiv1"/>
      </w:pPr>
      <w:r>
        <w:t>5. Valorisation des stocks de produits finis…</w:t>
      </w:r>
    </w:p>
    <w:p w14:paraId="0BB350DD" w14:textId="77777777" w:rsidR="005D07A6" w:rsidRDefault="00F42774">
      <w:pPr>
        <w:pStyle w:val="CT"/>
      </w:pPr>
      <w:r>
        <w:t>… uniquement s’il existe des stocks de produits finis.</w:t>
      </w:r>
    </w:p>
    <w:p w14:paraId="7931F444" w14:textId="77777777" w:rsidR="005D07A6" w:rsidRDefault="00F42774">
      <w:pPr>
        <w:pStyle w:val="TNiv1"/>
      </w:pPr>
      <w:r>
        <w:t>6. Calcul des coûts de revient</w:t>
      </w:r>
    </w:p>
    <w:p w14:paraId="0C74C792" w14:textId="77777777" w:rsidR="005D07A6" w:rsidRDefault="00F42774">
      <w:pPr>
        <w:pStyle w:val="CT"/>
      </w:pPr>
      <w:r>
        <w:t>= coûts de production des produits vendus + charges directes et charges indirectes de distribution et d’administration générale.</w:t>
      </w:r>
    </w:p>
    <w:p w14:paraId="7718F10C" w14:textId="77777777" w:rsidR="005D07A6" w:rsidRDefault="00F42774">
      <w:pPr>
        <w:pStyle w:val="TNiv1"/>
      </w:pPr>
      <w:r>
        <w:t>7. Détermination du résultat analytique…</w:t>
      </w:r>
    </w:p>
    <w:p w14:paraId="12E43E5E" w14:textId="77777777" w:rsidR="005D07A6" w:rsidRDefault="00F42774">
      <w:pPr>
        <w:pStyle w:val="CT"/>
      </w:pPr>
      <w:r>
        <w:t>… et, si demandé, concordance avec la comptabilité financière.</w:t>
      </w:r>
    </w:p>
    <w:p w14:paraId="593949EE" w14:textId="77777777" w:rsidR="005D07A6" w:rsidRDefault="00F42774">
      <w:pPr>
        <w:pStyle w:val="CT"/>
      </w:pPr>
      <w:r>
        <w:t xml:space="preserve">Cette démarche en sept étapes </w:t>
      </w:r>
      <w:r>
        <w:rPr>
          <w:b/>
          <w:bCs/>
        </w:rPr>
        <w:t>doit être adaptée à chaque sujet</w:t>
      </w:r>
      <w:r>
        <w:t>. Ainsi, il est important de commencer par lire le sujet et ne pas hésiter à schématiser les étapes du processus de production dans le cas d’exercices complexes.</w:t>
      </w:r>
    </w:p>
    <w:p w14:paraId="05D608A1" w14:textId="77777777" w:rsidR="005D07A6" w:rsidRDefault="00F42774">
      <w:pPr>
        <w:pStyle w:val="TNiv1"/>
      </w:pPr>
      <w:r>
        <w:t>Quelques cas particuliers</w:t>
      </w:r>
    </w:p>
    <w:p w14:paraId="7F15C1CE" w14:textId="77777777" w:rsidR="005D07A6" w:rsidRDefault="00F42774">
      <w:pPr>
        <w:pStyle w:val="ET"/>
      </w:pPr>
      <w:r>
        <w:t>Il n’y a pas de stocks : les étapes (3) et (5) sont inutiles. Les étapes (2), (4) et (6) peuvent être réunies dans le même tableau.</w:t>
      </w:r>
    </w:p>
    <w:p w14:paraId="00B8FA52" w14:textId="77777777" w:rsidR="005D07A6" w:rsidRDefault="00F42774">
      <w:pPr>
        <w:pStyle w:val="ET"/>
      </w:pPr>
      <w:r>
        <w:t>Il n’y a pas de centres auxiliaires : l’étape 1b est inutile.</w:t>
      </w:r>
    </w:p>
    <w:p w14:paraId="5367C047" w14:textId="77777777" w:rsidR="005D07A6" w:rsidRDefault="00F42774">
      <w:pPr>
        <w:pStyle w:val="TNiv1"/>
      </w:pPr>
      <w:r>
        <w:t>Conseil</w:t>
      </w:r>
    </w:p>
    <w:p w14:paraId="4E484F3E" w14:textId="77777777" w:rsidR="005D07A6" w:rsidRDefault="00F42774">
      <w:pPr>
        <w:pStyle w:val="CT"/>
      </w:pPr>
      <w:r>
        <w:t>Il est important de présenter tous les calculs sous forme de tableaux. Plus qu’un conseil, c’est même une obligation ! Dessiner un tableau à chaque étape du calcul, soit au moins 9 tableaux dans un exercice « classique ».</w:t>
      </w:r>
    </w:p>
    <w:p w14:paraId="4714CE99" w14:textId="77777777" w:rsidR="005D07A6" w:rsidRDefault="00F42774">
      <w:pPr>
        <w:pStyle w:val="finfilet"/>
      </w:pPr>
      <w:r>
        <w:t>Fin Annexe</w:t>
      </w:r>
    </w:p>
    <w:p w14:paraId="04468B98" w14:textId="77777777" w:rsidR="005D07A6" w:rsidRDefault="00F42774">
      <w:pPr>
        <w:pStyle w:val="debutfilet"/>
      </w:pPr>
      <w:r>
        <w:t>Annexe</w:t>
      </w:r>
    </w:p>
    <w:p w14:paraId="2165E8B0" w14:textId="77777777" w:rsidR="005D07A6" w:rsidRDefault="00F42774">
      <w:pPr>
        <w:pStyle w:val="LibelleRubrique"/>
      </w:pPr>
      <w:r>
        <w:t>Annexe 2</w:t>
      </w:r>
    </w:p>
    <w:p w14:paraId="5D9C70B1" w14:textId="77777777" w:rsidR="005D07A6" w:rsidRDefault="00F42774">
      <w:pPr>
        <w:pStyle w:val="TRubriqueFin"/>
      </w:pPr>
      <w:r>
        <w:t>La calculatrice</w:t>
      </w:r>
    </w:p>
    <w:p w14:paraId="559C1E73" w14:textId="77777777" w:rsidR="005D07A6" w:rsidRDefault="00F42774">
      <w:pPr>
        <w:pStyle w:val="CT"/>
      </w:pPr>
      <w:r>
        <w:t>L’utilisation de calculatrice à l’examen fait généralement l’objet de nombreuses questions de la part des candidats. La calculatrice est-elle autorisée ? Quelle calculatrice acheter ? etc.</w:t>
      </w:r>
    </w:p>
    <w:p w14:paraId="61490E0C" w14:textId="77777777" w:rsidR="005D07A6" w:rsidRDefault="00F42774">
      <w:pPr>
        <w:pStyle w:val="TNiv1"/>
      </w:pPr>
      <w:r>
        <w:t>1. La calculatrice à l’examen</w:t>
      </w:r>
    </w:p>
    <w:p w14:paraId="4AACCE41" w14:textId="77777777" w:rsidR="005D07A6" w:rsidRDefault="00F42774">
      <w:pPr>
        <w:pStyle w:val="CT"/>
      </w:pPr>
      <w:r>
        <w:t>L’usage de la calculatrice à l’examen a longtemps fait débat.</w:t>
      </w:r>
    </w:p>
    <w:p w14:paraId="62718308" w14:textId="77777777" w:rsidR="005D07A6" w:rsidRDefault="00F42774">
      <w:pPr>
        <w:pStyle w:val="CT"/>
      </w:pPr>
      <w:r>
        <w:t>À l’Intec, celle-ci est désormais autorisée aux conditions ci-après (notice qui figurera dans les sujets d’examen).</w:t>
      </w:r>
    </w:p>
    <w:p w14:paraId="37BCA791" w14:textId="77777777" w:rsidR="005D07A6" w:rsidRDefault="00F42774">
      <w:pPr>
        <w:pStyle w:val="debutfilet"/>
      </w:pPr>
      <w:r>
        <w:t>Attention</w:t>
      </w:r>
    </w:p>
    <w:p w14:paraId="5B754176" w14:textId="77777777" w:rsidR="005D07A6" w:rsidRDefault="00F42774">
      <w:pPr>
        <w:pStyle w:val="LibelleRubrique"/>
      </w:pPr>
      <w:r>
        <w:t>Attention</w:t>
      </w:r>
    </w:p>
    <w:p w14:paraId="3C5D3943" w14:textId="77777777" w:rsidR="005D07A6" w:rsidRDefault="00F42774">
      <w:pPr>
        <w:pStyle w:val="CT"/>
      </w:pPr>
      <w:r>
        <w:t>L’usage autorisé ou non de la calculatrice est fonction de chaque sujet. Ponctuellement, celle-ci peut donc être interdite pour une session précise.</w:t>
      </w:r>
    </w:p>
    <w:p w14:paraId="5F6AA0AC" w14:textId="77777777" w:rsidR="005D07A6" w:rsidRDefault="00F42774">
      <w:pPr>
        <w:pStyle w:val="finfilet"/>
      </w:pPr>
      <w:r>
        <w:t>Fin Attention</w:t>
      </w:r>
    </w:p>
    <w:p w14:paraId="18A2BE74" w14:textId="77777777" w:rsidR="005D07A6" w:rsidRDefault="00F42774">
      <w:pPr>
        <w:pStyle w:val="TNiv2"/>
      </w:pPr>
      <w:r>
        <w:t>I. Matériel et fonctionnalités autorisés</w:t>
      </w:r>
    </w:p>
    <w:p w14:paraId="3671250F" w14:textId="77777777" w:rsidR="005D07A6" w:rsidRDefault="00F42774">
      <w:pPr>
        <w:pStyle w:val="CT"/>
      </w:pPr>
      <w:r>
        <w:t>Est considéré comme « calculatrice » tout dispositif électronique autonome, dépourvu de toute fonction de communication par voie hertzienne, ayant pour fonction essentielle d’effectuer des calculs mathématiques ou financiers, de réaliser des représentations graphiques, des études statistiques ou tous traitements de données mathématiques par le biais de tableaux ou diagrammes.</w:t>
      </w:r>
    </w:p>
    <w:p w14:paraId="2DA77DC7" w14:textId="77777777" w:rsidR="005D07A6" w:rsidRDefault="00F42774">
      <w:pPr>
        <w:pStyle w:val="CT"/>
      </w:pPr>
      <w:r>
        <w:t>Les matériels et les fonctionnalités autorisés sont les suivants :</w:t>
      </w:r>
    </w:p>
    <w:p w14:paraId="0D910028" w14:textId="77777777" w:rsidR="005D07A6" w:rsidRDefault="00F42774">
      <w:pPr>
        <w:pStyle w:val="ET"/>
      </w:pPr>
      <w:r>
        <w:t>les calculatrices non programmables sans mémoire alphanumérique (calculatrice de poche) ;</w:t>
      </w:r>
    </w:p>
    <w:p w14:paraId="0EBFAF3D" w14:textId="77777777" w:rsidR="005D07A6" w:rsidRDefault="00F42774">
      <w:pPr>
        <w:pStyle w:val="ET"/>
      </w:pPr>
      <w:r>
        <w:t xml:space="preserve">les calculatrices </w:t>
      </w:r>
      <w:r>
        <w:rPr>
          <w:b/>
          <w:bCs/>
        </w:rPr>
        <w:t>avec mémoire alphanumérique et/ou avec écran graphique</w:t>
      </w:r>
      <w:r>
        <w:t xml:space="preserve"> qui disposent d’une fonctionnalité « </w:t>
      </w:r>
      <w:r>
        <w:rPr>
          <w:b/>
          <w:bCs/>
        </w:rPr>
        <w:t>mode examen</w:t>
      </w:r>
      <w:r>
        <w:t> » répondant aux spécificités suivantes :</w:t>
      </w:r>
    </w:p>
    <w:p w14:paraId="6AB26D2E" w14:textId="77777777" w:rsidR="005D07A6" w:rsidRDefault="00F42774">
      <w:pPr>
        <w:pStyle w:val="SEP"/>
      </w:pPr>
      <w:r>
        <w:lastRenderedPageBreak/>
        <w:t>la neutralisation temporaire de l’accès à la mémoire de la calculatrice,</w:t>
      </w:r>
    </w:p>
    <w:p w14:paraId="5A137C7D" w14:textId="77777777" w:rsidR="005D07A6" w:rsidRDefault="00F42774">
      <w:pPr>
        <w:pStyle w:val="SEP"/>
      </w:pPr>
      <w:r>
        <w:t>le blocage de toute transmission de données, que ce soit par WiFi, Bluetooth ou par tout autre dispositif de communication à distance,</w:t>
      </w:r>
    </w:p>
    <w:p w14:paraId="389BAE23" w14:textId="77777777" w:rsidR="005D07A6" w:rsidRDefault="00F42774">
      <w:pPr>
        <w:pStyle w:val="SEP"/>
      </w:pPr>
      <w:r>
        <w:t>la présence d’un signal lumineux clignotant sur la tranche haute de la calculatrice, attestant du passage au « mode examen »,</w:t>
      </w:r>
    </w:p>
    <w:p w14:paraId="47744FAD" w14:textId="77777777" w:rsidR="005D07A6" w:rsidRDefault="00F42774">
      <w:pPr>
        <w:pStyle w:val="SEP"/>
      </w:pPr>
      <w:r>
        <w:t>la non-réversibilité du « mode examen » durant toute la durée de l’épreuve.</w:t>
      </w:r>
    </w:p>
    <w:p w14:paraId="54218D51" w14:textId="77777777" w:rsidR="005D07A6" w:rsidRDefault="00F42774">
      <w:pPr>
        <w:pStyle w:val="TNiv2"/>
      </w:pPr>
      <w:r>
        <w:t>II. Déroulement de l’épreuve</w:t>
      </w:r>
    </w:p>
    <w:p w14:paraId="263744BA" w14:textId="77777777" w:rsidR="005D07A6" w:rsidRDefault="00F42774">
      <w:pPr>
        <w:pStyle w:val="CT"/>
      </w:pPr>
      <w:r>
        <w:t>Le « mode examen » ne doit être activé par l’élève, pour toute la durée de l’épreuve, que sur instruction du surveillant de salle lorsque le sujet de l’épreuve autorise l’usage de la calculatrice.</w:t>
      </w:r>
    </w:p>
    <w:p w14:paraId="3154676B" w14:textId="77777777" w:rsidR="005D07A6" w:rsidRDefault="00F42774">
      <w:pPr>
        <w:pStyle w:val="CT"/>
      </w:pPr>
      <w:r>
        <w:t>L’élève n’utilise qu’une seule machine sur la table. Toutefois, si celle-ci vient à connaître une défaillance, il peut la remplacer par une autre.</w:t>
      </w:r>
    </w:p>
    <w:p w14:paraId="0E10312A" w14:textId="77777777" w:rsidR="005D07A6" w:rsidRDefault="00F42774">
      <w:pPr>
        <w:pStyle w:val="CT"/>
      </w:pPr>
      <w:r>
        <w:t>Afin de prévenir les risques de fraude, sont interdits les échanges de machines entre les élèves, la consultation des notices fournies par les constructeurs ainsi que les échanges d’informations par l’intermédiaire des fonctions de transmission des calculatrices. L’utilisation d’une calculatrice non conforme aux caractéristiques techniques mentionnées au point I ci-avant est assimilable à un cas de fraude.</w:t>
      </w:r>
    </w:p>
    <w:p w14:paraId="1E3AE211" w14:textId="77777777" w:rsidR="005D07A6" w:rsidRDefault="00F42774">
      <w:pPr>
        <w:pStyle w:val="CT"/>
      </w:pPr>
      <w:r>
        <w:t>Est interdite l’utilisation de tout module ou extension enfichable ainsi que de tout câble, quelles qu’en soient la longueur et la connectique.</w:t>
      </w:r>
    </w:p>
    <w:p w14:paraId="53FF566E" w14:textId="77777777" w:rsidR="005D07A6" w:rsidRDefault="00F42774">
      <w:pPr>
        <w:pStyle w:val="CT"/>
      </w:pPr>
      <w:r>
        <w:t>Sont ainsi autorisées : les calculatrices de poche (sans mémoire alphanumérique, sans câble), les calculatrices de type collège (la mention collège figure expressément à côté du nom du modèle), les calculatrices scientifiques sans mention « collège » avec mode examen (ex. : Casio Graph 25 et suivants, TI 82 et suivants…).</w:t>
      </w:r>
    </w:p>
    <w:p w14:paraId="05A392E8" w14:textId="77777777" w:rsidR="005D07A6" w:rsidRDefault="00F42774">
      <w:pPr>
        <w:pStyle w:val="CT"/>
      </w:pPr>
      <w:r>
        <w:t xml:space="preserve">Pour mémoire, sur les </w:t>
      </w:r>
      <w:r>
        <w:rPr>
          <w:b/>
          <w:bCs/>
        </w:rPr>
        <w:t>modèles les plus courants</w:t>
      </w:r>
      <w:r>
        <w:t>, l’activation du mode examen a lieu comme suit :</w:t>
      </w:r>
    </w:p>
    <w:tbl>
      <w:tblPr>
        <w:tblW w:w="7161" w:type="dxa"/>
        <w:tblInd w:w="1701" w:type="dxa"/>
        <w:tblLook w:val="04A0" w:firstRow="1" w:lastRow="0" w:firstColumn="1" w:lastColumn="0" w:noHBand="0" w:noVBand="1"/>
      </w:tblPr>
      <w:tblGrid>
        <w:gridCol w:w="4458"/>
        <w:gridCol w:w="4458"/>
      </w:tblGrid>
      <w:tr w:rsidR="005D07A6" w14:paraId="043A8440" w14:textId="77777777">
        <w:tc>
          <w:tcPr>
            <w:tcW w:w="268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F4772B2" w14:textId="77777777" w:rsidR="005D07A6" w:rsidRDefault="00F42774">
            <w:pPr>
              <w:pStyle w:val="TA1"/>
              <w:rPr>
                <w:rFonts w:eastAsiaTheme="minorEastAsia"/>
              </w:rPr>
            </w:pPr>
            <w:r>
              <w:t>CASIO</w:t>
            </w:r>
          </w:p>
        </w:tc>
        <w:tc>
          <w:tcPr>
            <w:tcW w:w="268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307FB25" w14:textId="77777777" w:rsidR="005D07A6" w:rsidRDefault="00F42774">
            <w:pPr>
              <w:pStyle w:val="TA1"/>
              <w:rPr>
                <w:rFonts w:eastAsiaTheme="minorEastAsia"/>
              </w:rPr>
            </w:pPr>
            <w:r>
              <w:t>TEXAS INSTRUMENT</w:t>
            </w:r>
          </w:p>
        </w:tc>
      </w:tr>
      <w:tr w:rsidR="005D07A6" w14:paraId="120CA9BE" w14:textId="77777777">
        <w:tc>
          <w:tcPr>
            <w:tcW w:w="26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53F03B81" w14:textId="77777777" w:rsidR="005D07A6" w:rsidRDefault="00F42774">
            <w:pPr>
              <w:pStyle w:val="TA1"/>
              <w:rPr>
                <w:rFonts w:eastAsiaTheme="minorEastAsia"/>
              </w:rPr>
            </w:pPr>
            <w:r>
              <w:rPr>
                <w:b/>
                <w:bCs/>
              </w:rPr>
              <w:t>Graph</w:t>
            </w:r>
            <w:r>
              <w:t> </w:t>
            </w:r>
            <w:r>
              <w:rPr>
                <w:b/>
                <w:bCs/>
              </w:rPr>
              <w:t>25</w:t>
            </w:r>
            <w:r>
              <w:t>+</w:t>
            </w:r>
            <w:r>
              <w:rPr>
                <w:b/>
                <w:bCs/>
              </w:rPr>
              <w:t>E II, Graph</w:t>
            </w:r>
            <w:r>
              <w:t> </w:t>
            </w:r>
            <w:r>
              <w:rPr>
                <w:b/>
                <w:bCs/>
              </w:rPr>
              <w:t>35</w:t>
            </w:r>
            <w:r>
              <w:t>+</w:t>
            </w:r>
            <w:r>
              <w:rPr>
                <w:b/>
                <w:bCs/>
              </w:rPr>
              <w:t>E, Graph</w:t>
            </w:r>
            <w:r>
              <w:t> </w:t>
            </w:r>
            <w:r>
              <w:rPr>
                <w:b/>
                <w:bCs/>
              </w:rPr>
              <w:t>35</w:t>
            </w:r>
            <w:r>
              <w:t>+</w:t>
            </w:r>
            <w:r>
              <w:rPr>
                <w:b/>
                <w:bCs/>
              </w:rPr>
              <w:t>E</w:t>
            </w:r>
            <w:r>
              <w:t> </w:t>
            </w:r>
            <w:r>
              <w:rPr>
                <w:b/>
                <w:bCs/>
              </w:rPr>
              <w:t>II, Graph</w:t>
            </w:r>
            <w:r>
              <w:t> </w:t>
            </w:r>
            <w:r>
              <w:rPr>
                <w:b/>
                <w:bCs/>
              </w:rPr>
              <w:t>90</w:t>
            </w:r>
            <w:r>
              <w:t>+</w:t>
            </w:r>
            <w:r>
              <w:rPr>
                <w:b/>
                <w:bCs/>
              </w:rPr>
              <w:t>E :</w:t>
            </w:r>
          </w:p>
          <w:p w14:paraId="42279CCE" w14:textId="77777777" w:rsidR="005D07A6" w:rsidRDefault="00F42774">
            <w:pPr>
              <w:pStyle w:val="TA1"/>
            </w:pPr>
            <w:r>
              <w:t>Éteindre la calculatrice, puis :</w:t>
            </w:r>
          </w:p>
          <w:p w14:paraId="04B7559E" w14:textId="77777777" w:rsidR="005D07A6" w:rsidRDefault="00F42774">
            <w:pPr>
              <w:pStyle w:val="Tab-CT"/>
            </w:pPr>
            <w:r>
              <w:rPr>
                <w:noProof/>
              </w:rPr>
              <w:drawing>
                <wp:inline distT="0" distB="0" distL="0" distR="0" wp14:anchorId="18627159" wp14:editId="13A322CD">
                  <wp:extent cx="1615440" cy="286512"/>
                  <wp:effectExtent l="0" t="0" r="3810" b="0"/>
                  <wp:docPr id="28" name="Image 28" descr="Pas de visualisation pour [UE202526_433_S1_fichiers/UE202324_121_S1_image1.jp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as de visualisation pour [UE202526_433_S1_fichiers/UE202324_121_S1_image1.jpg] !"/>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5440" cy="286512"/>
                          </a:xfrm>
                          <a:prstGeom prst="rect">
                            <a:avLst/>
                          </a:prstGeom>
                          <a:noFill/>
                          <a:ln>
                            <a:noFill/>
                          </a:ln>
                        </pic:spPr>
                      </pic:pic>
                    </a:graphicData>
                  </a:graphic>
                </wp:inline>
              </w:drawing>
            </w:r>
            <w:r>
              <w:t>&lt;image&gt;UE202324_121_S1_image1.jpg&lt;/image&gt;</w:t>
            </w:r>
          </w:p>
          <w:p w14:paraId="085C4C85" w14:textId="77777777" w:rsidR="005D07A6" w:rsidRDefault="00F42774">
            <w:pPr>
              <w:pStyle w:val="TA1"/>
            </w:pPr>
            <w:r>
              <w:t xml:space="preserve">Et suivre la procédure proposée à l’écran </w:t>
            </w:r>
            <w:r>
              <w:rPr>
                <w:b/>
                <w:bCs/>
              </w:rPr>
              <w:t>Fx-CP400</w:t>
            </w:r>
            <w:r>
              <w:t>+</w:t>
            </w:r>
            <w:r>
              <w:rPr>
                <w:b/>
                <w:bCs/>
              </w:rPr>
              <w:t>E.</w:t>
            </w:r>
          </w:p>
          <w:p w14:paraId="57F02DAE" w14:textId="77777777" w:rsidR="005D07A6" w:rsidRDefault="00F42774">
            <w:pPr>
              <w:pStyle w:val="TA1"/>
            </w:pPr>
            <w:r>
              <w:t>Éteindre la calculatrice, puis :</w:t>
            </w:r>
          </w:p>
          <w:p w14:paraId="34156239" w14:textId="77777777" w:rsidR="005D07A6" w:rsidRDefault="00F42774">
            <w:pPr>
              <w:pStyle w:val="Tab-CT"/>
              <w:rPr>
                <w:rFonts w:eastAsiaTheme="minorEastAsia"/>
              </w:rPr>
            </w:pPr>
            <w:r>
              <w:rPr>
                <w:noProof/>
              </w:rPr>
              <w:drawing>
                <wp:inline distT="0" distB="0" distL="0" distR="0" wp14:anchorId="747AC02D" wp14:editId="242B76E9">
                  <wp:extent cx="1615440" cy="286512"/>
                  <wp:effectExtent l="0" t="0" r="3810" b="0"/>
                  <wp:docPr id="29" name="Image 29" descr="Pas de visualisation pour [UE202526_433_S1_fichiers/UE202324_121_S1_image2.jp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as de visualisation pour [UE202526_433_S1_fichiers/UE202324_121_S1_image2.jpg] !"/>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15440" cy="286512"/>
                          </a:xfrm>
                          <a:prstGeom prst="rect">
                            <a:avLst/>
                          </a:prstGeom>
                          <a:noFill/>
                          <a:ln>
                            <a:noFill/>
                          </a:ln>
                        </pic:spPr>
                      </pic:pic>
                    </a:graphicData>
                  </a:graphic>
                </wp:inline>
              </w:drawing>
            </w:r>
            <w:r>
              <w:t>&lt;image&gt;UE202324_121_S1_image2.jpg&lt;/image&gt;</w:t>
            </w:r>
          </w:p>
        </w:tc>
        <w:tc>
          <w:tcPr>
            <w:tcW w:w="268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hideMark/>
          </w:tcPr>
          <w:p w14:paraId="336601C5" w14:textId="77777777" w:rsidR="005D07A6" w:rsidRDefault="00F42774">
            <w:pPr>
              <w:pStyle w:val="TA1"/>
              <w:rPr>
                <w:rFonts w:eastAsiaTheme="minorEastAsia"/>
              </w:rPr>
            </w:pPr>
            <w:r>
              <w:t>Et suivre la procédure proposée à l’écran </w:t>
            </w:r>
            <w:r>
              <w:rPr>
                <w:b/>
                <w:bCs/>
              </w:rPr>
              <w:t>TI</w:t>
            </w:r>
            <w:r>
              <w:t> </w:t>
            </w:r>
            <w:r>
              <w:rPr>
                <w:b/>
                <w:bCs/>
              </w:rPr>
              <w:t>82 et 83.</w:t>
            </w:r>
          </w:p>
          <w:p w14:paraId="6B5EACF8" w14:textId="77777777" w:rsidR="005D07A6" w:rsidRDefault="00F42774">
            <w:pPr>
              <w:pStyle w:val="TA1"/>
            </w:pPr>
            <w:r>
              <w:t>Calculatrice éteinte, appuyer simultanément sur les touches :</w:t>
            </w:r>
          </w:p>
          <w:p w14:paraId="2A1E8E19" w14:textId="77777777" w:rsidR="005D07A6" w:rsidRDefault="00F42774">
            <w:pPr>
              <w:pStyle w:val="Tab-CT"/>
            </w:pPr>
            <w:r>
              <w:rPr>
                <w:noProof/>
              </w:rPr>
              <w:drawing>
                <wp:inline distT="0" distB="0" distL="0" distR="0" wp14:anchorId="327D8629" wp14:editId="1490B19B">
                  <wp:extent cx="1749552" cy="359664"/>
                  <wp:effectExtent l="0" t="0" r="3175" b="2540"/>
                  <wp:docPr id="30" name="Image 30" descr="Pas de visualisation pour [UE202526_433_S1_fichiers/UE202324_121_S1_image3.jp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as de visualisation pour [UE202526_433_S1_fichiers/UE202324_121_S1_image3.jpg] !"/>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749552" cy="359664"/>
                          </a:xfrm>
                          <a:prstGeom prst="rect">
                            <a:avLst/>
                          </a:prstGeom>
                          <a:noFill/>
                          <a:ln>
                            <a:noFill/>
                          </a:ln>
                        </pic:spPr>
                      </pic:pic>
                    </a:graphicData>
                  </a:graphic>
                </wp:inline>
              </w:drawing>
            </w:r>
            <w:r>
              <w:t>&lt;image&gt;UE202324_121_S1_image3.jpg&lt;/image&gt;</w:t>
            </w:r>
          </w:p>
          <w:p w14:paraId="713E0D0D" w14:textId="77777777" w:rsidR="005D07A6" w:rsidRDefault="00F42774">
            <w:pPr>
              <w:pStyle w:val="TA1"/>
            </w:pPr>
            <w:r>
              <w:t>Patienter le temps de la validation.</w:t>
            </w:r>
          </w:p>
          <w:p w14:paraId="74879FDC" w14:textId="77777777" w:rsidR="005D07A6" w:rsidRDefault="00F42774">
            <w:pPr>
              <w:pStyle w:val="TA1"/>
              <w:rPr>
                <w:rFonts w:eastAsiaTheme="minorEastAsia"/>
              </w:rPr>
            </w:pPr>
            <w:r>
              <w:rPr>
                <w:b/>
                <w:bCs/>
              </w:rPr>
              <w:t>Remarque</w:t>
            </w:r>
            <w:r>
              <w:t xml:space="preserve"> : en plus du voyant blanc clignotant, le bandeau en haut de l’écran est </w:t>
            </w:r>
            <w:r>
              <w:rPr>
                <w:b/>
                <w:bCs/>
              </w:rPr>
              <w:t>bleu</w:t>
            </w:r>
            <w:r>
              <w:t xml:space="preserve"> et non gris.</w:t>
            </w:r>
          </w:p>
        </w:tc>
      </w:tr>
    </w:tbl>
    <w:p w14:paraId="0AD8AA61" w14:textId="77777777" w:rsidR="005D07A6" w:rsidRDefault="00F42774">
      <w:pPr>
        <w:pStyle w:val="CT"/>
        <w:rPr>
          <w:rFonts w:eastAsiaTheme="minorEastAsia"/>
        </w:rPr>
      </w:pPr>
      <w:r>
        <w:rPr>
          <w:b/>
          <w:bCs/>
        </w:rPr>
        <w:t>Pour toute autre marque, la mise en mode examen doit être connue de l’élève sous peine de l’interdiction d’utiliser la calculatrice.</w:t>
      </w:r>
    </w:p>
    <w:p w14:paraId="350D023D" w14:textId="77777777" w:rsidR="005D07A6" w:rsidRDefault="00F42774">
      <w:pPr>
        <w:pStyle w:val="CT"/>
      </w:pPr>
      <w:r>
        <w:t>Il vous faut donc, si vous disposez d’une calculatrice scientifique avec mode examen, vous assurer que vous savez comment l’activer bien avant le jour de l’épreuve.</w:t>
      </w:r>
    </w:p>
    <w:p w14:paraId="4F1B9E13" w14:textId="77777777" w:rsidR="005D07A6" w:rsidRDefault="00F42774">
      <w:pPr>
        <w:pStyle w:val="TNiv1"/>
      </w:pPr>
      <w:r>
        <w:t>2. Choisir sa calculatrice</w:t>
      </w:r>
    </w:p>
    <w:p w14:paraId="718C166A" w14:textId="77777777" w:rsidR="005D07A6" w:rsidRDefault="00F42774">
      <w:pPr>
        <w:pStyle w:val="CT"/>
      </w:pPr>
      <w:r>
        <w:t>Pour choisir une calculatrice, il est préférable de choisir un modèle qui permette de faire les calculs :</w:t>
      </w:r>
    </w:p>
    <w:p w14:paraId="2644E6B5" w14:textId="77777777" w:rsidR="005D07A6" w:rsidRDefault="00F42774">
      <w:pPr>
        <w:pStyle w:val="ET"/>
      </w:pPr>
      <w:r>
        <w:t>de moyenne et d’écart-type d’une série ;</w:t>
      </w:r>
    </w:p>
    <w:p w14:paraId="3C536D85" w14:textId="77777777" w:rsidR="005D07A6" w:rsidRDefault="00F42774">
      <w:pPr>
        <w:pStyle w:val="ET"/>
      </w:pPr>
      <w:r>
        <w:t>de coefficients de moindres carrés et de coefficient de corrélation linéaire ;</w:t>
      </w:r>
    </w:p>
    <w:p w14:paraId="679D50E5" w14:textId="77777777" w:rsidR="005D07A6" w:rsidRDefault="00F42774">
      <w:pPr>
        <w:pStyle w:val="ET"/>
      </w:pPr>
      <w:r>
        <w:t>de régression linéaire.</w:t>
      </w:r>
    </w:p>
    <w:p w14:paraId="19354945" w14:textId="77777777" w:rsidR="005D07A6" w:rsidRDefault="00F42774">
      <w:pPr>
        <w:pStyle w:val="CT"/>
      </w:pPr>
      <w:r>
        <w:t>Certaines calculatrices permettent de faire des calculs de mathématiques financières, ce qui peut être utile pour d’autres UE.</w:t>
      </w:r>
    </w:p>
    <w:p w14:paraId="2C489B02" w14:textId="77777777" w:rsidR="005D07A6" w:rsidRDefault="00F42774">
      <w:pPr>
        <w:pStyle w:val="CT"/>
      </w:pPr>
      <w:r>
        <w:t>Certaines calculatrices permettent de résoudre des systèmes d’équations, ce qui est bien pratique lorsqu’il y a des prestations réciproques dans les centres auxiliaires ou dans la résolution d’un exercice de programmation linéaire. Mais ce n’est pas indispensable.</w:t>
      </w:r>
    </w:p>
    <w:p w14:paraId="786F6561" w14:textId="77777777" w:rsidR="005D07A6" w:rsidRDefault="00F42774">
      <w:pPr>
        <w:pStyle w:val="CT"/>
      </w:pPr>
      <w:r>
        <w:t>Enfin, les calculatrices trop compliquées font beaucoup de choses, mais sont trop compliquées pour le peu de choses dont on a besoin dans l’UE 433/443.</w:t>
      </w:r>
    </w:p>
    <w:p w14:paraId="64912948" w14:textId="77777777" w:rsidR="005D07A6" w:rsidRDefault="00F42774">
      <w:pPr>
        <w:pStyle w:val="TexteRenvoiSite"/>
      </w:pPr>
      <w:r>
        <w:t xml:space="preserve">Retrouvez un guide complet des calculatrices les plus utilisées dans les ressources de l’UE 433/443, sur le site Internet de l’Intec : </w:t>
      </w:r>
      <w:hyperlink r:id="rId43" w:history="1">
        <w:r>
          <w:rPr>
            <w:rStyle w:val="Lienhypertexte"/>
          </w:rPr>
          <w:t>https://lecnam.net</w:t>
        </w:r>
      </w:hyperlink>
    </w:p>
    <w:p w14:paraId="2FE9907D" w14:textId="77777777" w:rsidR="005D07A6" w:rsidRDefault="00F42774">
      <w:pPr>
        <w:pStyle w:val="finfilet"/>
      </w:pPr>
      <w:r>
        <w:lastRenderedPageBreak/>
        <w:t>Fin Annexe</w:t>
      </w:r>
    </w:p>
    <w:p w14:paraId="2E58E361" w14:textId="77777777" w:rsidR="005D07A6" w:rsidRDefault="00F42774">
      <w:pPr>
        <w:pStyle w:val="debutfilet"/>
      </w:pPr>
      <w:r>
        <w:t>Annexe</w:t>
      </w:r>
    </w:p>
    <w:p w14:paraId="2317BD28" w14:textId="77777777" w:rsidR="005D07A6" w:rsidRDefault="00F42774">
      <w:pPr>
        <w:pStyle w:val="LibelleRubrique"/>
      </w:pPr>
      <w:r>
        <w:t>Annexe 3</w:t>
      </w:r>
    </w:p>
    <w:p w14:paraId="60C074DB" w14:textId="77777777" w:rsidR="005D07A6" w:rsidRDefault="00F42774">
      <w:pPr>
        <w:pStyle w:val="TRubriqueFin"/>
      </w:pPr>
      <w:r>
        <w:t>Comment arrondir les valeurs dans les exercices ?</w:t>
      </w:r>
    </w:p>
    <w:p w14:paraId="524FE0C8" w14:textId="77777777" w:rsidR="005D07A6" w:rsidRDefault="00F42774">
      <w:pPr>
        <w:pStyle w:val="CT"/>
      </w:pPr>
      <w:r>
        <w:t>Dans les calculs analytiques, il n’est pas rare que l’on soit confronté au problème des arrondis.</w:t>
      </w:r>
    </w:p>
    <w:p w14:paraId="5D6F2FB9" w14:textId="77777777" w:rsidR="005D07A6" w:rsidRDefault="00F42774">
      <w:pPr>
        <w:pStyle w:val="CT"/>
      </w:pPr>
      <w:r>
        <w:t>Dans la pratique professionnelle, le contrôleur de gestion utilise des logiciels de type tableur. Il est alors important de reporter les formules d’une case à l’autre, et pas les valeurs, pour éviter les effets « boule de neige ».</w:t>
      </w:r>
    </w:p>
    <w:p w14:paraId="0D86A899" w14:textId="77777777" w:rsidR="005D07A6" w:rsidRDefault="00F42774">
      <w:pPr>
        <w:pStyle w:val="CT"/>
      </w:pPr>
      <w:r>
        <w:t>Un effet « boule de neige » apparaît lorsqu’un arrondi en amont est intégré dans un autre calcul. Le premier arrondi est alors multiplié dans le nouveau calcul. Après trois ou quatre calculs, l’arrondi initial qui pouvait sembler négligeable peut devenir très important.</w:t>
      </w:r>
    </w:p>
    <w:p w14:paraId="01FEA7A3" w14:textId="77777777" w:rsidR="005D07A6" w:rsidRDefault="00F42774">
      <w:pPr>
        <w:pStyle w:val="CT"/>
      </w:pPr>
      <w:r>
        <w:t>Dans les exercices, lorsque la calculatrice est autorisée, il n’est pas rare de devoir effectuer des calculs avec de nombreux chiffres après la virgule. Si l’on arrondit la valeur d’une unité d’œuvre par exemple, cela peut avoir des conséquences importantes.</w:t>
      </w:r>
    </w:p>
    <w:p w14:paraId="2171D895" w14:textId="77777777" w:rsidR="005D07A6" w:rsidRDefault="00F42774">
      <w:pPr>
        <w:pStyle w:val="debutfilet"/>
      </w:pPr>
      <w:r>
        <w:t>Exemple</w:t>
      </w:r>
    </w:p>
    <w:p w14:paraId="278E80BC" w14:textId="77777777" w:rsidR="005D07A6" w:rsidRDefault="00F42774">
      <w:pPr>
        <w:pStyle w:val="LibelleRubrique"/>
      </w:pPr>
      <w:r>
        <w:t>Exemple</w:t>
      </w:r>
    </w:p>
    <w:p w14:paraId="20ED640C" w14:textId="77777777" w:rsidR="005D07A6" w:rsidRDefault="00F42774">
      <w:pPr>
        <w:pStyle w:val="CT"/>
      </w:pPr>
      <w:r>
        <w:t>Le coût d’une unité d’œuvre est de 2,2456732 € le kg.</w:t>
      </w:r>
    </w:p>
    <w:p w14:paraId="4E23D93B" w14:textId="77777777" w:rsidR="005D07A6" w:rsidRDefault="00F42774">
      <w:pPr>
        <w:pStyle w:val="CT"/>
      </w:pPr>
      <w:r>
        <w:t>L’entreprise achète 2 000 tonnes de matières. L’unité d’œuvre va alors être multipliée par 2 000 000. L’arrondi effectué sur l’unité d’œuvre aura donc au final un impact important.</w:t>
      </w:r>
    </w:p>
    <w:p w14:paraId="5051811A" w14:textId="77777777" w:rsidR="005D07A6" w:rsidRDefault="00F42774">
      <w:pPr>
        <w:pStyle w:val="finfilet"/>
      </w:pPr>
      <w:r>
        <w:t>Fin Exemple</w:t>
      </w:r>
    </w:p>
    <w:p w14:paraId="61D2A606" w14:textId="77777777" w:rsidR="005D07A6" w:rsidRDefault="00F42774">
      <w:pPr>
        <w:pStyle w:val="CT"/>
      </w:pPr>
      <w:r>
        <w:t>Dans les sujets d’examen, il n’est pas rare que l’on précise le nombre de chiffres après la virgule qu’il faut retenir. Cela évite tout problème. On retient souvent trois ou quatre chiffres après la virgule.</w:t>
      </w:r>
    </w:p>
    <w:p w14:paraId="69381D60" w14:textId="77777777" w:rsidR="005D07A6" w:rsidRDefault="00F42774">
      <w:pPr>
        <w:pStyle w:val="CT"/>
      </w:pPr>
      <w:r>
        <w:t>Si aucune indication n’est fournie, il faut retenir un nombre de chiffres significatifs qui soit pertinent en fonction du contexte. Il est davantage pertinent de parler de nombre de chiffres significatifs que de nombre après la virgule. Cinq ou six chiffres significatifs semblent être un bon compromis.</w:t>
      </w:r>
    </w:p>
    <w:p w14:paraId="28CBECFA" w14:textId="77777777" w:rsidR="005D07A6" w:rsidRDefault="00F42774">
      <w:pPr>
        <w:pStyle w:val="debutfilet"/>
      </w:pPr>
      <w:r>
        <w:t>Exemple</w:t>
      </w:r>
    </w:p>
    <w:p w14:paraId="324F0B63" w14:textId="77777777" w:rsidR="005D07A6" w:rsidRDefault="00F42774">
      <w:pPr>
        <w:pStyle w:val="LibelleRubrique"/>
      </w:pPr>
      <w:r>
        <w:t>Exemple</w:t>
      </w:r>
    </w:p>
    <w:p w14:paraId="1D74A344" w14:textId="77777777" w:rsidR="005D07A6" w:rsidRDefault="00F42774">
      <w:pPr>
        <w:pStyle w:val="CT"/>
      </w:pPr>
      <w:r>
        <w:t>Soit le coût d’unité d’œuvre suivant : 2,2456732 €</w:t>
      </w:r>
    </w:p>
    <w:p w14:paraId="1EA83A6D" w14:textId="77777777" w:rsidR="005D07A6" w:rsidRDefault="00F42774">
      <w:pPr>
        <w:pStyle w:val="CT"/>
      </w:pPr>
      <w:r>
        <w:t>Arrondi au centime près = 2,25</w:t>
      </w:r>
    </w:p>
    <w:p w14:paraId="36D62F74" w14:textId="77777777" w:rsidR="005D07A6" w:rsidRDefault="00F42774">
      <w:pPr>
        <w:pStyle w:val="CT"/>
      </w:pPr>
      <w:r>
        <w:t>Arrondi à l’euro près = 2</w:t>
      </w:r>
    </w:p>
    <w:p w14:paraId="51E75666" w14:textId="77777777" w:rsidR="005D07A6" w:rsidRDefault="00F42774">
      <w:pPr>
        <w:pStyle w:val="CT"/>
      </w:pPr>
      <w:r>
        <w:t>Arrondi à quatre chiffres après la virgule = 2,2457</w:t>
      </w:r>
    </w:p>
    <w:p w14:paraId="32EA580E" w14:textId="77777777" w:rsidR="005D07A6" w:rsidRDefault="00F42774">
      <w:pPr>
        <w:pStyle w:val="CT"/>
      </w:pPr>
      <w:r>
        <w:t>Arrondi à quatre chiffres significatifs = 2,246</w:t>
      </w:r>
    </w:p>
    <w:p w14:paraId="6340D21F" w14:textId="77777777" w:rsidR="005D07A6" w:rsidRDefault="00F42774">
      <w:pPr>
        <w:pStyle w:val="CT"/>
      </w:pPr>
      <w:r>
        <w:t>Arrondi à six chiffres significatifs = 2,24567</w:t>
      </w:r>
    </w:p>
    <w:p w14:paraId="48C9E293" w14:textId="77777777" w:rsidR="005D07A6" w:rsidRDefault="00F42774">
      <w:pPr>
        <w:pStyle w:val="CT"/>
      </w:pPr>
      <w:r>
        <w:t>Soit le coût d’unité d’œuvre suivant : 0,09426732 €</w:t>
      </w:r>
    </w:p>
    <w:p w14:paraId="04061026" w14:textId="77777777" w:rsidR="005D07A6" w:rsidRDefault="00F42774">
      <w:pPr>
        <w:pStyle w:val="CT"/>
      </w:pPr>
      <w:r>
        <w:t>Arrondi au centime près = 0,09</w:t>
      </w:r>
    </w:p>
    <w:p w14:paraId="77A6471C" w14:textId="77777777" w:rsidR="005D07A6" w:rsidRDefault="00F42774">
      <w:pPr>
        <w:pStyle w:val="CT"/>
      </w:pPr>
      <w:r>
        <w:t>Arrondi à l’euro près = 0</w:t>
      </w:r>
    </w:p>
    <w:p w14:paraId="4102FE0C" w14:textId="77777777" w:rsidR="005D07A6" w:rsidRDefault="00F42774">
      <w:pPr>
        <w:pStyle w:val="CT"/>
      </w:pPr>
      <w:r>
        <w:t>Arrondi à quatre chiffres après la virgule = 0,0943</w:t>
      </w:r>
    </w:p>
    <w:p w14:paraId="2AD8FC62" w14:textId="77777777" w:rsidR="005D07A6" w:rsidRDefault="00F42774">
      <w:pPr>
        <w:pStyle w:val="CT"/>
      </w:pPr>
      <w:r>
        <w:t>Arrondi à quatre chiffres significatifs = 0,09427</w:t>
      </w:r>
    </w:p>
    <w:p w14:paraId="61571643" w14:textId="77777777" w:rsidR="005D07A6" w:rsidRDefault="00F42774">
      <w:pPr>
        <w:pStyle w:val="CT"/>
      </w:pPr>
      <w:r>
        <w:t>Arrondi à six chiffres significatifs = 0,0942673</w:t>
      </w:r>
    </w:p>
    <w:p w14:paraId="64FE004C" w14:textId="77777777" w:rsidR="005D07A6" w:rsidRDefault="00F42774">
      <w:pPr>
        <w:pStyle w:val="finfilet"/>
      </w:pPr>
      <w:r>
        <w:t>Fin Exemple</w:t>
      </w:r>
    </w:p>
    <w:p w14:paraId="7F5E5C64" w14:textId="77777777" w:rsidR="005D07A6" w:rsidRDefault="00F42774">
      <w:pPr>
        <w:pStyle w:val="finfilet"/>
      </w:pPr>
      <w:r>
        <w:t>Fin Annexe</w:t>
      </w:r>
    </w:p>
    <w:p w14:paraId="620B6109" w14:textId="77777777" w:rsidR="005D07A6" w:rsidRDefault="00F42774">
      <w:pPr>
        <w:pStyle w:val="debutfilet"/>
      </w:pPr>
      <w:r>
        <w:t>Annexe</w:t>
      </w:r>
    </w:p>
    <w:p w14:paraId="69968815" w14:textId="77777777" w:rsidR="005D07A6" w:rsidRDefault="00F42774">
      <w:pPr>
        <w:pStyle w:val="LibelleRubrique"/>
      </w:pPr>
      <w:r>
        <w:t>Annexe 4</w:t>
      </w:r>
    </w:p>
    <w:p w14:paraId="4EEF8A75" w14:textId="77777777" w:rsidR="005D07A6" w:rsidRDefault="00F42774">
      <w:pPr>
        <w:pStyle w:val="TRubriqueFin"/>
      </w:pPr>
      <w:r>
        <w:t>Les auteurs à connaître</w:t>
      </w:r>
    </w:p>
    <w:p w14:paraId="569F9BDF" w14:textId="77777777" w:rsidR="005D07A6" w:rsidRDefault="00F42774">
      <w:pPr>
        <w:pStyle w:val="CT"/>
      </w:pPr>
      <w:r>
        <w:t>Il est apprécié de pouvoir citer le nom de quelques auteurs fondamentaux de contrôle de gestion dans le cadre d’une question rédactionnelle à l’examen. Il n’y a bien évidemment pas de liste officielle des auteurs à connaître, mais les noms de R. Antony, F. Taylor ou E. Rimailho doivent être connus. A. Burlaud, W. Coase, M. Jensen, E. Mayo, A. Maslow, D. McGregor, W. Meckling, H. Mintzberg, O. Williamson doivent également évoquer quelque chose aux candidats à l’examen de licence.</w:t>
      </w:r>
    </w:p>
    <w:p w14:paraId="442B8D08" w14:textId="77777777" w:rsidR="005D07A6" w:rsidRDefault="00F42774">
      <w:pPr>
        <w:pStyle w:val="TNiv1"/>
      </w:pPr>
      <w:r>
        <w:lastRenderedPageBreak/>
        <w:t>Robert N. Anthony</w:t>
      </w:r>
      <w:r>
        <w:rPr>
          <w:highlight w:val="green"/>
        </w:rPr>
        <w:fldChar w:fldCharType="begin"/>
      </w:r>
      <w:r>
        <w:rPr>
          <w:highlight w:val="green"/>
        </w:rPr>
        <w:instrText xml:space="preserve"> XE "</w:instrText>
      </w:r>
      <w:r>
        <w:rPr>
          <w:noProof/>
          <w:highlight w:val="green"/>
        </w:rPr>
        <w:instrText>Anthony</w:instrText>
      </w:r>
      <w:r>
        <w:rPr>
          <w:highlight w:val="green"/>
        </w:rPr>
        <w:instrText xml:space="preserve">" </w:instrText>
      </w:r>
      <w:r>
        <w:rPr>
          <w:highlight w:val="green"/>
        </w:rPr>
        <w:fldChar w:fldCharType="end"/>
      </w:r>
    </w:p>
    <w:p w14:paraId="55CE4FA3" w14:textId="77777777" w:rsidR="005D07A6" w:rsidRDefault="00F42774">
      <w:pPr>
        <w:pStyle w:val="CT"/>
      </w:pPr>
      <w:r>
        <w:t>Né en 1916, Robert Anthony fut professeur à la Harvard Business School (HBS) pendant plus de 40 années. Il fut président de l’American Accounting Association de 1973 à 1974.</w:t>
      </w:r>
    </w:p>
    <w:p w14:paraId="66D1F0FC" w14:textId="77777777" w:rsidR="005D07A6" w:rsidRDefault="00F42774">
      <w:pPr>
        <w:pStyle w:val="CT"/>
      </w:pPr>
      <w:r>
        <w:t>Ce fut un auteur prolifique en contrôle de gestion (</w:t>
      </w:r>
      <w:r>
        <w:rPr>
          <w:i/>
          <w:iCs/>
        </w:rPr>
        <w:t>management accounting</w:t>
      </w:r>
      <w:r>
        <w:t xml:space="preserve">). Son livre, publié en 1965, </w:t>
      </w:r>
      <w:r>
        <w:rPr>
          <w:i/>
          <w:iCs/>
        </w:rPr>
        <w:t xml:space="preserve">Planning and Control Systems </w:t>
      </w:r>
      <w:r>
        <w:t xml:space="preserve">fut longtemps le livre de référence dans la discipline pour plusieurs générations d’étudiants. L’auteur fournit notamment des définitions fondamentales pour la discipline. Sa définition du </w:t>
      </w:r>
      <w:r>
        <w:rPr>
          <w:i/>
          <w:iCs/>
        </w:rPr>
        <w:t>manager</w:t>
      </w:r>
      <w:r>
        <w:t>, et du contrôle de gestion (</w:t>
      </w:r>
      <w:r>
        <w:rPr>
          <w:i/>
          <w:iCs/>
        </w:rPr>
        <w:t>management control</w:t>
      </w:r>
      <w:r>
        <w:t>) font référence.</w:t>
      </w:r>
    </w:p>
    <w:p w14:paraId="1F16EC69" w14:textId="77777777" w:rsidR="005D07A6" w:rsidRDefault="00F42774">
      <w:pPr>
        <w:pStyle w:val="TNiv1"/>
      </w:pPr>
      <w:r>
        <w:t>Donaldson Brown</w:t>
      </w:r>
      <w:r>
        <w:rPr>
          <w:highlight w:val="green"/>
        </w:rPr>
        <w:fldChar w:fldCharType="begin"/>
      </w:r>
      <w:r>
        <w:rPr>
          <w:highlight w:val="green"/>
        </w:rPr>
        <w:instrText xml:space="preserve"> XE "</w:instrText>
      </w:r>
      <w:r>
        <w:rPr>
          <w:noProof/>
          <w:highlight w:val="green"/>
        </w:rPr>
        <w:instrText>Brown</w:instrText>
      </w:r>
      <w:r>
        <w:rPr>
          <w:highlight w:val="green"/>
        </w:rPr>
        <w:instrText xml:space="preserve">" </w:instrText>
      </w:r>
      <w:r>
        <w:rPr>
          <w:highlight w:val="green"/>
        </w:rPr>
        <w:fldChar w:fldCharType="end"/>
      </w:r>
    </w:p>
    <w:p w14:paraId="4D782B18" w14:textId="77777777" w:rsidR="005D07A6" w:rsidRDefault="00F42774">
      <w:pPr>
        <w:pStyle w:val="CT"/>
      </w:pPr>
      <w:r>
        <w:t xml:space="preserve">Frank Donaldson Brown (1885-1965) fut </w:t>
      </w:r>
      <w:r>
        <w:rPr>
          <w:i/>
          <w:iCs/>
        </w:rPr>
        <w:t>financial executive</w:t>
      </w:r>
      <w:r>
        <w:t xml:space="preserve"> et </w:t>
      </w:r>
      <w:r>
        <w:rPr>
          <w:i/>
          <w:iCs/>
        </w:rPr>
        <w:t>corporate director</w:t>
      </w:r>
      <w:r>
        <w:t xml:space="preserve"> chez DuPont et General Motors. Il fut diplômé de la Virginia Tech en 1902. En 1912, il rejoint les services financiers de DuPont et met en place des procédures comptables et utilise des outils statistiques pour évaluer les performances de l’entreprise.</w:t>
      </w:r>
    </w:p>
    <w:p w14:paraId="161A2557" w14:textId="77777777" w:rsidR="005D07A6" w:rsidRDefault="00F42774">
      <w:pPr>
        <w:pStyle w:val="CT"/>
      </w:pPr>
      <w:r>
        <w:t xml:space="preserve">En 1918, DuPont se rapproche de General Motors et Brown devient, en 1921, trésorier de la compagnie. Il introduit des ratios financiers et la notion de budget flexible, qui permettent le pilotage d’un empire fortement décentralisé. Son nom reste attaché à celui d’Alfred Sloan, président de General Motors durant ces années. </w:t>
      </w:r>
      <w:r>
        <w:rPr>
          <w:highlight w:val="green"/>
        </w:rPr>
        <w:fldChar w:fldCharType="begin"/>
      </w:r>
      <w:r>
        <w:rPr>
          <w:highlight w:val="green"/>
        </w:rPr>
        <w:instrText xml:space="preserve"> XE "</w:instrText>
      </w:r>
      <w:r>
        <w:rPr>
          <w:noProof/>
          <w:highlight w:val="green"/>
        </w:rPr>
        <w:instrText>Sloan-Brown</w:instrText>
      </w:r>
      <w:r>
        <w:rPr>
          <w:highlight w:val="green"/>
        </w:rPr>
        <w:instrText xml:space="preserve">" </w:instrText>
      </w:r>
      <w:r>
        <w:rPr>
          <w:highlight w:val="green"/>
        </w:rPr>
        <w:fldChar w:fldCharType="end"/>
      </w:r>
    </w:p>
    <w:p w14:paraId="04174A7C" w14:textId="77777777" w:rsidR="005D07A6" w:rsidRDefault="00F42774">
      <w:pPr>
        <w:pStyle w:val="TNiv1"/>
      </w:pPr>
      <w:r>
        <w:t>Alain Burlaud</w:t>
      </w:r>
      <w:r>
        <w:rPr>
          <w:highlight w:val="green"/>
        </w:rPr>
        <w:fldChar w:fldCharType="begin"/>
      </w:r>
      <w:r>
        <w:rPr>
          <w:highlight w:val="green"/>
        </w:rPr>
        <w:instrText xml:space="preserve"> XE "</w:instrText>
      </w:r>
      <w:r>
        <w:rPr>
          <w:noProof/>
          <w:highlight w:val="green"/>
        </w:rPr>
        <w:instrText>Burlaud</w:instrText>
      </w:r>
      <w:r>
        <w:rPr>
          <w:highlight w:val="green"/>
        </w:rPr>
        <w:instrText xml:space="preserve">" </w:instrText>
      </w:r>
      <w:r>
        <w:rPr>
          <w:highlight w:val="green"/>
        </w:rPr>
        <w:fldChar w:fldCharType="end"/>
      </w:r>
    </w:p>
    <w:p w14:paraId="0C911C4A" w14:textId="77777777" w:rsidR="005D07A6" w:rsidRDefault="00F42774">
      <w:pPr>
        <w:pStyle w:val="CT"/>
      </w:pPr>
      <w:r>
        <w:t xml:space="preserve">Diplômé d’expertise comptable, Alain Burlaud fut directeur de l’Intec (Institut national des techniques économiques et comptables) jusqu’en 2011. Docteur d’État ès sciences de gestion, il est l’auteur de nombreux ouvrages parmi lesquels </w:t>
      </w:r>
      <w:r>
        <w:rPr>
          <w:i/>
          <w:iCs/>
        </w:rPr>
        <w:t>Comptabilité approfondie et audit</w:t>
      </w:r>
      <w:r>
        <w:t xml:space="preserve"> (éditions Foucher, 2007) et </w:t>
      </w:r>
      <w:r>
        <w:rPr>
          <w:i/>
          <w:iCs/>
        </w:rPr>
        <w:t>Le contrôle de gestion</w:t>
      </w:r>
      <w:r>
        <w:t xml:space="preserve"> (éditions La Découverte, réédité en 2006).</w:t>
      </w:r>
    </w:p>
    <w:p w14:paraId="35F700ED" w14:textId="77777777" w:rsidR="005D07A6" w:rsidRDefault="00F42774">
      <w:pPr>
        <w:pStyle w:val="TNiv1"/>
      </w:pPr>
      <w:r>
        <w:t>Mickael C. Jensen</w:t>
      </w:r>
      <w:r>
        <w:rPr>
          <w:highlight w:val="green"/>
        </w:rPr>
        <w:fldChar w:fldCharType="begin"/>
      </w:r>
      <w:r>
        <w:rPr>
          <w:highlight w:val="green"/>
        </w:rPr>
        <w:instrText xml:space="preserve"> XE "</w:instrText>
      </w:r>
      <w:r>
        <w:rPr>
          <w:noProof/>
          <w:highlight w:val="green"/>
        </w:rPr>
        <w:instrText>Jensen</w:instrText>
      </w:r>
      <w:r>
        <w:rPr>
          <w:highlight w:val="green"/>
        </w:rPr>
        <w:instrText xml:space="preserve">" </w:instrText>
      </w:r>
      <w:r>
        <w:rPr>
          <w:highlight w:val="green"/>
        </w:rPr>
        <w:fldChar w:fldCharType="end"/>
      </w:r>
    </w:p>
    <w:p w14:paraId="5FEB46DB" w14:textId="77777777" w:rsidR="005D07A6" w:rsidRDefault="00F42774">
      <w:pPr>
        <w:pStyle w:val="CT"/>
      </w:pPr>
      <w:r>
        <w:t>Michael Jensen a été professeur de finance à l’université de Rochester entre 1967 et 1988 et à la Harvard Business School de 1985 à 2000.</w:t>
      </w:r>
    </w:p>
    <w:p w14:paraId="600A39B1" w14:textId="77777777" w:rsidR="005D07A6" w:rsidRDefault="00F42774">
      <w:pPr>
        <w:pStyle w:val="CT"/>
      </w:pPr>
      <w:r>
        <w:t>Il a travaillé sur des modèles d’évaluation des actifs financiers, sur les politiques de stock-options, sur la gouvernance d’entreprise, et a créé un indicateur de performance des gestionnaires d’actifs.</w:t>
      </w:r>
    </w:p>
    <w:p w14:paraId="035417FE" w14:textId="77777777" w:rsidR="005D07A6" w:rsidRDefault="00F42774">
      <w:pPr>
        <w:pStyle w:val="CT"/>
      </w:pPr>
      <w:r>
        <w:t>Son travail le plus connu est son article de 1976 avec William H. Meckling, « Theory of the firm: Managerial behaviour, agency costs and ownership structure », un des articles d’économie les plus cités, donnant naissance à la « </w:t>
      </w:r>
      <w:r>
        <w:rPr>
          <w:b/>
          <w:bCs/>
        </w:rPr>
        <w:t>théorie de l’agence</w:t>
      </w:r>
      <w:r>
        <w:t> »</w:t>
      </w:r>
      <w:r>
        <w:rPr>
          <w:highlight w:val="green"/>
        </w:rPr>
        <w:fldChar w:fldCharType="begin"/>
      </w:r>
      <w:r>
        <w:rPr>
          <w:highlight w:val="green"/>
        </w:rPr>
        <w:instrText xml:space="preserve"> XE "</w:instrText>
      </w:r>
      <w:r>
        <w:rPr>
          <w:noProof/>
          <w:highlight w:val="green"/>
        </w:rPr>
        <w:instrText>Théorie</w:instrText>
      </w:r>
      <w:r>
        <w:rPr>
          <w:highlight w:val="green"/>
        </w:rPr>
        <w:instrText>:</w:instrText>
      </w:r>
      <w:r>
        <w:rPr>
          <w:noProof/>
          <w:highlight w:val="green"/>
        </w:rPr>
        <w:instrText>– de l’agence</w:instrText>
      </w:r>
      <w:r>
        <w:rPr>
          <w:highlight w:val="green"/>
        </w:rPr>
        <w:instrText xml:space="preserve">" </w:instrText>
      </w:r>
      <w:r>
        <w:rPr>
          <w:highlight w:val="green"/>
        </w:rPr>
        <w:fldChar w:fldCharType="end"/>
      </w:r>
      <w:r>
        <w:t>.</w:t>
      </w:r>
    </w:p>
    <w:p w14:paraId="4C2912D6" w14:textId="77777777" w:rsidR="005D07A6" w:rsidRDefault="00F42774">
      <w:pPr>
        <w:pStyle w:val="TNiv1"/>
      </w:pPr>
      <w:r>
        <w:t>William H. Meckling</w:t>
      </w:r>
      <w:r>
        <w:rPr>
          <w:highlight w:val="green"/>
        </w:rPr>
        <w:fldChar w:fldCharType="begin"/>
      </w:r>
      <w:r>
        <w:rPr>
          <w:highlight w:val="green"/>
        </w:rPr>
        <w:instrText xml:space="preserve"> XE "</w:instrText>
      </w:r>
      <w:r>
        <w:rPr>
          <w:noProof/>
          <w:highlight w:val="green"/>
        </w:rPr>
        <w:instrText>Meckling</w:instrText>
      </w:r>
      <w:r>
        <w:rPr>
          <w:highlight w:val="green"/>
        </w:rPr>
        <w:instrText xml:space="preserve">" </w:instrText>
      </w:r>
      <w:r>
        <w:rPr>
          <w:highlight w:val="green"/>
        </w:rPr>
        <w:fldChar w:fldCharType="end"/>
      </w:r>
    </w:p>
    <w:p w14:paraId="5EC471FC" w14:textId="77777777" w:rsidR="005D07A6" w:rsidRDefault="00F42774">
      <w:pPr>
        <w:pStyle w:val="CT"/>
      </w:pPr>
      <w:r>
        <w:t>William Meckling a été professeur à l’université de Rochester. Il est célèbre pour avoir écrit avec M. Jensen l’article « Theory of the firm: Managerial behaviour, agency costs and ownership structure » qui théorise notamment le concept de relation d’agence et a donné naissance à la « </w:t>
      </w:r>
      <w:r>
        <w:rPr>
          <w:b/>
          <w:bCs/>
        </w:rPr>
        <w:t>théorie de l’agence</w:t>
      </w:r>
      <w:r>
        <w:t xml:space="preserve"> ». </w:t>
      </w:r>
    </w:p>
    <w:p w14:paraId="3155C403" w14:textId="77777777" w:rsidR="005D07A6" w:rsidRDefault="00F42774">
      <w:pPr>
        <w:pStyle w:val="TNiv1"/>
      </w:pPr>
      <w:r>
        <w:t>Henry Mintzberg</w:t>
      </w:r>
      <w:r>
        <w:rPr>
          <w:highlight w:val="green"/>
        </w:rPr>
        <w:fldChar w:fldCharType="begin"/>
      </w:r>
      <w:r>
        <w:rPr>
          <w:highlight w:val="green"/>
        </w:rPr>
        <w:instrText xml:space="preserve"> XE "</w:instrText>
      </w:r>
      <w:r>
        <w:rPr>
          <w:noProof/>
          <w:highlight w:val="green"/>
        </w:rPr>
        <w:instrText>Mintzberg</w:instrText>
      </w:r>
      <w:r>
        <w:rPr>
          <w:highlight w:val="green"/>
        </w:rPr>
        <w:instrText xml:space="preserve">" </w:instrText>
      </w:r>
      <w:r>
        <w:rPr>
          <w:highlight w:val="green"/>
        </w:rPr>
        <w:fldChar w:fldCharType="end"/>
      </w:r>
    </w:p>
    <w:p w14:paraId="424D7D68" w14:textId="77777777" w:rsidR="005D07A6" w:rsidRDefault="00F42774">
      <w:pPr>
        <w:pStyle w:val="CT"/>
      </w:pPr>
      <w:r>
        <w:t>Henry Mintzberg est né en 1939 à Montréal. Professeur à l’Université McGill, c’est un auteur internationalement reconnu d’ouvrages de management. Il s’est appliqué à montrer que l’activité du manager et du dirigeant est plus complexe que ce qu’on croit. Le manager a une activité fragmentée, et c’est à l’aide des relations interpersonnelles qu’il s’informe et agit. Il est le principal représentant du courant de la sociologie des organisations appelé école de la contingence. Il est également à l’origine d’une typologie des organisations, qui fait référence.</w:t>
      </w:r>
    </w:p>
    <w:p w14:paraId="31D0E236" w14:textId="77777777" w:rsidR="005D07A6" w:rsidRDefault="00F42774">
      <w:pPr>
        <w:pStyle w:val="CT"/>
      </w:pPr>
      <w:r>
        <w:t xml:space="preserve">Henry Mintzberg a abondamment écrit à propos de la gestion des organisations et des stratégies de gestion, avec plus de 150 articles et 15 livres à son actif. Son ouvrage </w:t>
      </w:r>
      <w:r>
        <w:rPr>
          <w:i/>
          <w:iCs/>
        </w:rPr>
        <w:t>The Rise and Fall of Strategic Planning</w:t>
      </w:r>
      <w:r>
        <w:t xml:space="preserve"> critique les pratiques de la planification stratégique actuelle.</w:t>
      </w:r>
    </w:p>
    <w:p w14:paraId="35830CE1" w14:textId="77777777" w:rsidR="005D07A6" w:rsidRDefault="00F42774">
      <w:pPr>
        <w:pStyle w:val="TNiv1"/>
      </w:pPr>
      <w:r>
        <w:t>Émile Rimailho</w:t>
      </w:r>
      <w:r>
        <w:rPr>
          <w:highlight w:val="green"/>
        </w:rPr>
        <w:fldChar w:fldCharType="begin"/>
      </w:r>
      <w:r>
        <w:rPr>
          <w:highlight w:val="green"/>
        </w:rPr>
        <w:instrText xml:space="preserve"> XE "</w:instrText>
      </w:r>
      <w:r>
        <w:rPr>
          <w:noProof/>
          <w:highlight w:val="green"/>
        </w:rPr>
        <w:instrText>Rimailho</w:instrText>
      </w:r>
      <w:r>
        <w:rPr>
          <w:highlight w:val="green"/>
        </w:rPr>
        <w:instrText xml:space="preserve">" </w:instrText>
      </w:r>
      <w:r>
        <w:rPr>
          <w:highlight w:val="green"/>
        </w:rPr>
        <w:fldChar w:fldCharType="end"/>
      </w:r>
    </w:p>
    <w:p w14:paraId="7F91F6B7" w14:textId="77777777" w:rsidR="005D07A6" w:rsidRDefault="00F42774">
      <w:pPr>
        <w:pStyle w:val="CT"/>
      </w:pPr>
      <w:r>
        <w:t>Né en 1864, après ses études à l’École polytechnique, il est officier dans l’armée française. Il commence sa carrière dans les ateliers militaires de Puteaux où il met au point le frein de tir du canon de 75 et crée également un matériel d’artillerie lourde à tir rapide, le canon de 155, modèle 1904, dit « 155 Court Rimailho ».</w:t>
      </w:r>
    </w:p>
    <w:p w14:paraId="1DB2C8AA" w14:textId="77777777" w:rsidR="005D07A6" w:rsidRDefault="00F42774">
      <w:pPr>
        <w:pStyle w:val="CT"/>
      </w:pPr>
      <w:r>
        <w:lastRenderedPageBreak/>
        <w:t>Il fait valoir prématurément ses droits à la retraite, et entame alors une carrière civile en tant que dirigeant d’entreprise dans l’industrie. En 1931, il assurera également un cours d’organisation du travail à l’École nationale supérieure de l’Aéronautique. Il crée un cabinet d’ingénieurs consultants, la Compagnie d’ingénieurs en organisation, qui relaie les idées de l’</w:t>
      </w:r>
      <w:r>
        <w:rPr>
          <w:i/>
          <w:iCs/>
        </w:rPr>
        <w:t>Organisation à la française</w:t>
      </w:r>
      <w:r>
        <w:t>, ouvrage publié 10 ans plus tôt.</w:t>
      </w:r>
    </w:p>
    <w:p w14:paraId="6EC8D0BC" w14:textId="77777777" w:rsidR="005D07A6" w:rsidRDefault="00F42774">
      <w:pPr>
        <w:pStyle w:val="CT"/>
      </w:pPr>
      <w:r>
        <w:t>Il est le père de la méthode dite « des sections homogènes » largement reprise dans le plan comptable français à partir de 1942.</w:t>
      </w:r>
    </w:p>
    <w:p w14:paraId="28FCB83B" w14:textId="77777777" w:rsidR="005D07A6" w:rsidRDefault="00F42774">
      <w:pPr>
        <w:pStyle w:val="TNiv1"/>
      </w:pPr>
      <w:r>
        <w:t>Alfred Sloan</w:t>
      </w:r>
    </w:p>
    <w:p w14:paraId="023473B3" w14:textId="77777777" w:rsidR="005D07A6" w:rsidRDefault="00F42774">
      <w:pPr>
        <w:pStyle w:val="CT"/>
      </w:pPr>
      <w:r>
        <w:t>Né en 1875 dans le Connecticut, il étudia l’ingénierie électrique et fut diplômé du Massachusetts Institute of Technology (MIT). Il devint président d’une fabrique de roulements à billes en 1899. En 1916, sa société fusionna avec United Motors Corporation qui par la suite devint une filiale de General Motors.</w:t>
      </w:r>
    </w:p>
    <w:p w14:paraId="31473959" w14:textId="77777777" w:rsidR="005D07A6" w:rsidRDefault="00F42774">
      <w:pPr>
        <w:pStyle w:val="CT"/>
      </w:pPr>
      <w:r>
        <w:t xml:space="preserve">Alfred Sloan fut président de General Motors en 1923. En 1934, il créa la fondation philanthropique Alfred P. Sloan. Sous sa direction, General Motors devint célèbre pour différents outils de pilotage d’entreprise utilisant les statistiques financières comme le retour sur investissement. Ces mesures furent introduites par Donaldson Brown. </w:t>
      </w:r>
      <w:r>
        <w:rPr>
          <w:highlight w:val="green"/>
        </w:rPr>
        <w:fldChar w:fldCharType="begin"/>
      </w:r>
      <w:r>
        <w:rPr>
          <w:highlight w:val="green"/>
        </w:rPr>
        <w:instrText xml:space="preserve"> XE "</w:instrText>
      </w:r>
      <w:r>
        <w:rPr>
          <w:noProof/>
          <w:highlight w:val="green"/>
        </w:rPr>
        <w:instrText>Sloan-Brown</w:instrText>
      </w:r>
      <w:r>
        <w:rPr>
          <w:highlight w:val="green"/>
        </w:rPr>
        <w:instrText xml:space="preserve">" </w:instrText>
      </w:r>
      <w:r>
        <w:rPr>
          <w:highlight w:val="green"/>
        </w:rPr>
        <w:fldChar w:fldCharType="end"/>
      </w:r>
    </w:p>
    <w:p w14:paraId="146FE254" w14:textId="77777777" w:rsidR="005D07A6" w:rsidRDefault="00F42774">
      <w:pPr>
        <w:pStyle w:val="TNiv1"/>
      </w:pPr>
      <w:r>
        <w:t>Frederick Winslow Taylor</w:t>
      </w:r>
      <w:r>
        <w:rPr>
          <w:highlight w:val="green"/>
        </w:rPr>
        <w:fldChar w:fldCharType="begin"/>
      </w:r>
      <w:r>
        <w:rPr>
          <w:highlight w:val="green"/>
        </w:rPr>
        <w:instrText xml:space="preserve"> XE "</w:instrText>
      </w:r>
      <w:r>
        <w:rPr>
          <w:noProof/>
          <w:highlight w:val="green"/>
        </w:rPr>
        <w:instrText>Taylor</w:instrText>
      </w:r>
      <w:r>
        <w:rPr>
          <w:highlight w:val="green"/>
        </w:rPr>
        <w:instrText xml:space="preserve">" </w:instrText>
      </w:r>
      <w:r>
        <w:rPr>
          <w:highlight w:val="green"/>
        </w:rPr>
        <w:fldChar w:fldCharType="end"/>
      </w:r>
    </w:p>
    <w:p w14:paraId="234A7693" w14:textId="77777777" w:rsidR="005D07A6" w:rsidRDefault="00F42774">
      <w:pPr>
        <w:pStyle w:val="CT"/>
      </w:pPr>
      <w:r>
        <w:t>Frederick Winslow Taylor est né en 1856 et mort en 1915. Il était ingénieur et fut le promoteur le plus connu de l’Organisation scientifique du travail</w:t>
      </w:r>
      <w:r>
        <w:rPr>
          <w:highlight w:val="green"/>
        </w:rPr>
        <w:fldChar w:fldCharType="begin"/>
      </w:r>
      <w:r>
        <w:rPr>
          <w:highlight w:val="green"/>
        </w:rPr>
        <w:instrText xml:space="preserve"> XE "</w:instrText>
      </w:r>
      <w:r>
        <w:rPr>
          <w:noProof/>
          <w:highlight w:val="green"/>
        </w:rPr>
        <w:instrText>Organisation scientifique du travail</w:instrText>
      </w:r>
      <w:r>
        <w:rPr>
          <w:highlight w:val="green"/>
        </w:rPr>
        <w:instrText xml:space="preserve">" </w:instrText>
      </w:r>
      <w:r>
        <w:rPr>
          <w:highlight w:val="green"/>
        </w:rPr>
        <w:fldChar w:fldCharType="end"/>
      </w:r>
      <w:r>
        <w:t>. Après un apprentissage d’ouvrier modeleur à Philadelphie, il est embauché en 1878 par une aciérie, la Midvale Steel Co. Il va gravir les échelons pour devenir en 1884, ingénieur en chef, après avoir obtenu son diplôme en suivant des cours du soir.</w:t>
      </w:r>
    </w:p>
    <w:p w14:paraId="7AB3B8DF" w14:textId="77777777" w:rsidR="005D07A6" w:rsidRDefault="00F42774">
      <w:pPr>
        <w:pStyle w:val="CT"/>
      </w:pPr>
      <w:r>
        <w:t>Taylor s’engage dans des expériences d’organisation du travail entièrement nouvelles, qu’il nomme OST (Organisation scientifique du travail). Il s’inspire du système de classification inventé par Melvil Dewey en 1872 (classification décimale de Dewey).</w:t>
      </w:r>
    </w:p>
    <w:p w14:paraId="5BC82A30" w14:textId="77777777" w:rsidR="005D07A6" w:rsidRDefault="00F42774">
      <w:pPr>
        <w:pStyle w:val="finfilet"/>
      </w:pPr>
      <w:r>
        <w:t>Fin Annexe</w:t>
      </w:r>
    </w:p>
    <w:p w14:paraId="290751EC" w14:textId="77777777" w:rsidR="005D07A6" w:rsidRDefault="00F42774">
      <w:pPr>
        <w:pStyle w:val="finfiletr"/>
      </w:pPr>
      <w:r>
        <w:t>Fin Annexes</w:t>
      </w:r>
    </w:p>
    <w:p w14:paraId="18DEA673" w14:textId="77777777" w:rsidR="005D07A6" w:rsidRDefault="00F42774">
      <w:pPr>
        <w:pStyle w:val="finfiletr"/>
      </w:pPr>
      <w:r>
        <w:t>Fin Fin_Serie</w:t>
      </w:r>
    </w:p>
    <w:p w14:paraId="30A449D8" w14:textId="77777777" w:rsidR="005D07A6" w:rsidRDefault="00F42774">
      <w:pPr>
        <w:pStyle w:val="TDevoir"/>
      </w:pPr>
      <w:r>
        <w:t>Devoir 1</w:t>
      </w:r>
    </w:p>
    <w:p w14:paraId="29B1A28F" w14:textId="77777777" w:rsidR="005D07A6" w:rsidRDefault="00F42774">
      <w:pPr>
        <w:pStyle w:val="NAU"/>
      </w:pPr>
      <w:r>
        <w:t>Abdelaziz Belkaaloul</w:t>
      </w:r>
    </w:p>
    <w:p w14:paraId="1EB61F8B" w14:textId="77777777" w:rsidR="005D07A6" w:rsidRDefault="00F42774">
      <w:pPr>
        <w:pStyle w:val="debutfilet"/>
      </w:pPr>
      <w:r>
        <w:t>Remarque</w:t>
      </w:r>
    </w:p>
    <w:p w14:paraId="4BE4D7EF" w14:textId="77777777" w:rsidR="005D07A6" w:rsidRDefault="00F42774">
      <w:pPr>
        <w:pStyle w:val="LibelleRubrique"/>
      </w:pPr>
      <w:r>
        <w:t>Barème</w:t>
      </w:r>
    </w:p>
    <w:tbl>
      <w:tblPr>
        <w:tblW w:w="7156" w:type="dxa"/>
        <w:tblInd w:w="1701" w:type="dxa"/>
        <w:tblLook w:val="04A0" w:firstRow="1" w:lastRow="0" w:firstColumn="1" w:lastColumn="0" w:noHBand="0" w:noVBand="1"/>
      </w:tblPr>
      <w:tblGrid>
        <w:gridCol w:w="984"/>
        <w:gridCol w:w="288"/>
        <w:gridCol w:w="288"/>
        <w:gridCol w:w="287"/>
        <w:gridCol w:w="287"/>
        <w:gridCol w:w="287"/>
        <w:gridCol w:w="329"/>
        <w:gridCol w:w="422"/>
        <w:gridCol w:w="328"/>
        <w:gridCol w:w="361"/>
        <w:gridCol w:w="359"/>
        <w:gridCol w:w="359"/>
        <w:gridCol w:w="1319"/>
        <w:gridCol w:w="629"/>
        <w:gridCol w:w="629"/>
      </w:tblGrid>
      <w:tr w:rsidR="005D07A6" w14:paraId="6288CE0B" w14:textId="77777777">
        <w:tc>
          <w:tcPr>
            <w:tcW w:w="735" w:type="dxa"/>
            <w:tcBorders>
              <w:top w:val="nil"/>
              <w:left w:val="nil"/>
              <w:bottom w:val="single" w:sz="4" w:space="0" w:color="auto"/>
              <w:right w:val="single" w:sz="4" w:space="0" w:color="auto"/>
            </w:tcBorders>
            <w:tcMar>
              <w:top w:w="0" w:type="dxa"/>
              <w:left w:w="2" w:type="dxa"/>
              <w:bottom w:w="0" w:type="dxa"/>
              <w:right w:w="2" w:type="dxa"/>
            </w:tcMar>
            <w:vAlign w:val="center"/>
            <w:hideMark/>
          </w:tcPr>
          <w:p w14:paraId="253CCDC2" w14:textId="77777777" w:rsidR="005D07A6" w:rsidRDefault="005D07A6"/>
        </w:tc>
        <w:tc>
          <w:tcPr>
            <w:tcW w:w="240" w:type="dxa"/>
            <w:gridSpan w:val="5"/>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8AE4E77" w14:textId="77777777" w:rsidR="005D07A6" w:rsidRDefault="00F42774">
            <w:pPr>
              <w:pStyle w:val="TA1"/>
              <w:jc w:val="center"/>
              <w:rPr>
                <w:rFonts w:eastAsiaTheme="minorEastAsia"/>
              </w:rPr>
            </w:pPr>
            <w:r>
              <w:rPr>
                <w:b/>
                <w:bCs/>
              </w:rPr>
              <w:t>Exercice 1</w:t>
            </w:r>
          </w:p>
        </w:tc>
        <w:tc>
          <w:tcPr>
            <w:tcW w:w="240"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204ED8B" w14:textId="77777777" w:rsidR="005D07A6" w:rsidRDefault="00F42774">
            <w:pPr>
              <w:pStyle w:val="TA1"/>
              <w:jc w:val="center"/>
              <w:rPr>
                <w:rFonts w:eastAsiaTheme="minorEastAsia"/>
              </w:rPr>
            </w:pPr>
            <w:r>
              <w:rPr>
                <w:b/>
                <w:bCs/>
              </w:rPr>
              <w:t>Exercice 2</w:t>
            </w:r>
          </w:p>
        </w:tc>
        <w:tc>
          <w:tcPr>
            <w:tcW w:w="240"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219BDD2" w14:textId="77777777" w:rsidR="005D07A6" w:rsidRDefault="00F42774">
            <w:pPr>
              <w:pStyle w:val="TA1"/>
              <w:jc w:val="center"/>
              <w:rPr>
                <w:rFonts w:eastAsiaTheme="minorEastAsia"/>
              </w:rPr>
            </w:pPr>
            <w:r>
              <w:rPr>
                <w:b/>
                <w:bCs/>
              </w:rPr>
              <w:t>Exercice 3</w:t>
            </w:r>
          </w:p>
        </w:tc>
        <w:tc>
          <w:tcPr>
            <w:tcW w:w="94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093F057" w14:textId="77777777" w:rsidR="005D07A6" w:rsidRDefault="00F42774">
            <w:pPr>
              <w:pStyle w:val="TA1"/>
              <w:jc w:val="center"/>
              <w:rPr>
                <w:rFonts w:eastAsiaTheme="minorEastAsia"/>
              </w:rPr>
            </w:pPr>
            <w:r>
              <w:rPr>
                <w:b/>
                <w:bCs/>
              </w:rPr>
              <w:t>Présentation</w:t>
            </w:r>
          </w:p>
        </w:tc>
        <w:tc>
          <w:tcPr>
            <w:tcW w:w="52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6780549" w14:textId="77777777" w:rsidR="005D07A6" w:rsidRDefault="00F42774">
            <w:pPr>
              <w:pStyle w:val="TA1"/>
              <w:jc w:val="center"/>
              <w:rPr>
                <w:rFonts w:eastAsiaTheme="minorEastAsia"/>
              </w:rPr>
            </w:pPr>
            <w:r>
              <w:rPr>
                <w:b/>
                <w:bCs/>
              </w:rPr>
              <w:t>Total</w:t>
            </w:r>
          </w:p>
        </w:tc>
        <w:tc>
          <w:tcPr>
            <w:tcW w:w="52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56F8687" w14:textId="77777777" w:rsidR="005D07A6" w:rsidRDefault="00F42774">
            <w:pPr>
              <w:pStyle w:val="TA1"/>
              <w:jc w:val="center"/>
              <w:rPr>
                <w:rFonts w:eastAsiaTheme="minorEastAsia"/>
              </w:rPr>
            </w:pPr>
            <w:r>
              <w:rPr>
                <w:b/>
                <w:bCs/>
              </w:rPr>
              <w:t>Total</w:t>
            </w:r>
          </w:p>
        </w:tc>
      </w:tr>
      <w:tr w:rsidR="005D07A6" w14:paraId="03B74246" w14:textId="77777777">
        <w:tc>
          <w:tcPr>
            <w:tcW w:w="73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5557681" w14:textId="77777777" w:rsidR="005D07A6" w:rsidRDefault="00F42774">
            <w:pPr>
              <w:pStyle w:val="TA1"/>
              <w:rPr>
                <w:rFonts w:eastAsiaTheme="minorEastAsia"/>
              </w:rPr>
            </w:pPr>
            <w:r>
              <w:t>Questions</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AB00C08" w14:textId="77777777" w:rsidR="005D07A6" w:rsidRDefault="00F42774">
            <w:pPr>
              <w:pStyle w:val="TA1"/>
              <w:jc w:val="center"/>
              <w:rPr>
                <w:rFonts w:eastAsiaTheme="minorEastAsia"/>
              </w:rPr>
            </w:pPr>
            <w:r>
              <w:t>1</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ECA483A" w14:textId="77777777" w:rsidR="005D07A6" w:rsidRDefault="00F42774">
            <w:pPr>
              <w:pStyle w:val="TA1"/>
              <w:jc w:val="center"/>
              <w:rPr>
                <w:rFonts w:eastAsiaTheme="minorEastAsia"/>
              </w:rPr>
            </w:pPr>
            <w:r>
              <w:t>2</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141B12F" w14:textId="77777777" w:rsidR="005D07A6" w:rsidRDefault="00F42774">
            <w:pPr>
              <w:pStyle w:val="TA1"/>
              <w:jc w:val="center"/>
              <w:rPr>
                <w:rFonts w:eastAsiaTheme="minorEastAsia"/>
              </w:rPr>
            </w:pPr>
            <w:r>
              <w:t>3</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037494C" w14:textId="77777777" w:rsidR="005D07A6" w:rsidRDefault="00F42774">
            <w:pPr>
              <w:pStyle w:val="TA1"/>
              <w:jc w:val="center"/>
              <w:rPr>
                <w:rFonts w:eastAsiaTheme="minorEastAsia"/>
              </w:rPr>
            </w:pPr>
            <w:r>
              <w:t>4</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4038767" w14:textId="77777777" w:rsidR="005D07A6" w:rsidRDefault="00F42774">
            <w:pPr>
              <w:pStyle w:val="TA1"/>
              <w:jc w:val="center"/>
              <w:rPr>
                <w:rFonts w:eastAsiaTheme="minorEastAsia"/>
              </w:rPr>
            </w:pPr>
            <w:r>
              <w:t>5</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66E6D5B" w14:textId="77777777" w:rsidR="005D07A6" w:rsidRDefault="00F42774">
            <w:pPr>
              <w:pStyle w:val="TA1"/>
              <w:jc w:val="center"/>
              <w:rPr>
                <w:rFonts w:eastAsiaTheme="minorEastAsia"/>
              </w:rPr>
            </w:pPr>
            <w:r>
              <w:t>1</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5663CB7" w14:textId="77777777" w:rsidR="005D07A6" w:rsidRDefault="00F42774">
            <w:pPr>
              <w:pStyle w:val="TA1"/>
              <w:jc w:val="center"/>
              <w:rPr>
                <w:rFonts w:eastAsiaTheme="minorEastAsia"/>
              </w:rPr>
            </w:pPr>
            <w:r>
              <w:t>2</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E33E750" w14:textId="77777777" w:rsidR="005D07A6" w:rsidRDefault="00F42774">
            <w:pPr>
              <w:pStyle w:val="TA1"/>
              <w:jc w:val="center"/>
              <w:rPr>
                <w:rFonts w:eastAsiaTheme="minorEastAsia"/>
              </w:rPr>
            </w:pPr>
            <w:r>
              <w:t>3</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83DAFB1" w14:textId="77777777" w:rsidR="005D07A6" w:rsidRDefault="00F42774">
            <w:pPr>
              <w:pStyle w:val="TA1"/>
              <w:jc w:val="center"/>
              <w:rPr>
                <w:rFonts w:eastAsiaTheme="minorEastAsia"/>
              </w:rPr>
            </w:pPr>
            <w:r>
              <w:t>1</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18A0C05" w14:textId="77777777" w:rsidR="005D07A6" w:rsidRDefault="00F42774">
            <w:pPr>
              <w:pStyle w:val="TA1"/>
              <w:jc w:val="center"/>
              <w:rPr>
                <w:rFonts w:eastAsiaTheme="minorEastAsia"/>
              </w:rPr>
            </w:pPr>
            <w:r>
              <w:t>2</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7FBD2D0" w14:textId="77777777" w:rsidR="005D07A6" w:rsidRDefault="00F42774">
            <w:pPr>
              <w:pStyle w:val="TA1"/>
              <w:jc w:val="center"/>
              <w:rPr>
                <w:rFonts w:eastAsiaTheme="minorEastAsia"/>
              </w:rPr>
            </w:pPr>
            <w:r>
              <w:t>3</w:t>
            </w:r>
          </w:p>
        </w:tc>
        <w:tc>
          <w:tcPr>
            <w:tcW w:w="9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2D35BD7"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1771EA0" w14:textId="77777777" w:rsidR="005D07A6" w:rsidRDefault="00F42774">
            <w:pPr>
              <w:pStyle w:val="TA1"/>
              <w:jc w:val="center"/>
              <w:rPr>
                <w:rFonts w:eastAsiaTheme="minorEastAsia"/>
              </w:rPr>
            </w:pPr>
            <w:r>
              <w:t>Sur 80</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1DE9998" w14:textId="77777777" w:rsidR="005D07A6" w:rsidRDefault="00F42774">
            <w:pPr>
              <w:pStyle w:val="TA1"/>
              <w:jc w:val="center"/>
              <w:rPr>
                <w:rFonts w:eastAsiaTheme="minorEastAsia"/>
              </w:rPr>
            </w:pPr>
            <w:r>
              <w:t>Sur 20</w:t>
            </w:r>
          </w:p>
        </w:tc>
      </w:tr>
      <w:tr w:rsidR="005D07A6" w14:paraId="164812DE" w14:textId="77777777">
        <w:tc>
          <w:tcPr>
            <w:tcW w:w="73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8763A31" w14:textId="77777777" w:rsidR="005D07A6" w:rsidRDefault="00F42774">
            <w:pPr>
              <w:pStyle w:val="TA1"/>
              <w:rPr>
                <w:rFonts w:eastAsiaTheme="minorEastAsia"/>
              </w:rPr>
            </w:pPr>
            <w:r>
              <w:t>Points</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bottom"/>
            <w:hideMark/>
          </w:tcPr>
          <w:p w14:paraId="5AA33D92" w14:textId="77777777" w:rsidR="005D07A6" w:rsidRDefault="00F42774">
            <w:pPr>
              <w:pStyle w:val="TA1"/>
              <w:jc w:val="center"/>
              <w:rPr>
                <w:rFonts w:eastAsiaTheme="minorEastAsia"/>
              </w:rPr>
            </w:pPr>
            <w:r>
              <w:t>5</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bottom"/>
            <w:hideMark/>
          </w:tcPr>
          <w:p w14:paraId="437DE6BA" w14:textId="77777777" w:rsidR="005D07A6" w:rsidRDefault="00F42774">
            <w:pPr>
              <w:pStyle w:val="TA1"/>
              <w:jc w:val="center"/>
              <w:rPr>
                <w:rFonts w:eastAsiaTheme="minorEastAsia"/>
              </w:rPr>
            </w:pPr>
            <w:r>
              <w:t>10</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bottom"/>
            <w:hideMark/>
          </w:tcPr>
          <w:p w14:paraId="50093B7F" w14:textId="77777777" w:rsidR="005D07A6" w:rsidRDefault="00F42774">
            <w:pPr>
              <w:pStyle w:val="TA1"/>
              <w:jc w:val="center"/>
              <w:rPr>
                <w:rFonts w:eastAsiaTheme="minorEastAsia"/>
              </w:rPr>
            </w:pPr>
            <w:r>
              <w:t>13</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bottom"/>
            <w:hideMark/>
          </w:tcPr>
          <w:p w14:paraId="0D3C4D62" w14:textId="77777777" w:rsidR="005D07A6" w:rsidRDefault="00F42774">
            <w:pPr>
              <w:pStyle w:val="TA1"/>
              <w:jc w:val="center"/>
              <w:rPr>
                <w:rFonts w:eastAsiaTheme="minorEastAsia"/>
              </w:rPr>
            </w:pPr>
            <w:r>
              <w:t>4</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bottom"/>
            <w:hideMark/>
          </w:tcPr>
          <w:p w14:paraId="5D715EB3" w14:textId="77777777" w:rsidR="005D07A6" w:rsidRDefault="00F42774">
            <w:pPr>
              <w:pStyle w:val="TA1"/>
              <w:jc w:val="center"/>
              <w:rPr>
                <w:rFonts w:eastAsiaTheme="minorEastAsia"/>
              </w:rPr>
            </w:pPr>
            <w:r>
              <w:t>5</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bottom"/>
            <w:hideMark/>
          </w:tcPr>
          <w:p w14:paraId="614AD869" w14:textId="77777777" w:rsidR="005D07A6" w:rsidRDefault="00F42774">
            <w:pPr>
              <w:pStyle w:val="TA1"/>
              <w:jc w:val="center"/>
              <w:rPr>
                <w:rFonts w:eastAsiaTheme="minorEastAsia"/>
              </w:rPr>
            </w:pPr>
            <w:r>
              <w:t>5</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bottom"/>
            <w:hideMark/>
          </w:tcPr>
          <w:p w14:paraId="0F5D16C1" w14:textId="77777777" w:rsidR="005D07A6" w:rsidRDefault="00F42774">
            <w:pPr>
              <w:pStyle w:val="TA1"/>
              <w:jc w:val="center"/>
              <w:rPr>
                <w:rFonts w:eastAsiaTheme="minorEastAsia"/>
              </w:rPr>
            </w:pPr>
            <w:r>
              <w:t>15</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bottom"/>
            <w:hideMark/>
          </w:tcPr>
          <w:p w14:paraId="013E9F17" w14:textId="77777777" w:rsidR="005D07A6" w:rsidRDefault="00F42774">
            <w:pPr>
              <w:pStyle w:val="TA1"/>
              <w:jc w:val="center"/>
              <w:rPr>
                <w:rFonts w:eastAsiaTheme="minorEastAsia"/>
              </w:rPr>
            </w:pPr>
            <w:r>
              <w:t>5</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bottom"/>
            <w:hideMark/>
          </w:tcPr>
          <w:p w14:paraId="5A69F8F1" w14:textId="77777777" w:rsidR="005D07A6" w:rsidRDefault="00F42774">
            <w:pPr>
              <w:pStyle w:val="TA1"/>
              <w:jc w:val="center"/>
              <w:rPr>
                <w:rFonts w:eastAsiaTheme="minorEastAsia"/>
              </w:rPr>
            </w:pPr>
            <w:r>
              <w:t>5</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bottom"/>
            <w:hideMark/>
          </w:tcPr>
          <w:p w14:paraId="2E800940" w14:textId="77777777" w:rsidR="005D07A6" w:rsidRDefault="00F42774">
            <w:pPr>
              <w:pStyle w:val="TA1"/>
              <w:jc w:val="center"/>
              <w:rPr>
                <w:rFonts w:eastAsiaTheme="minorEastAsia"/>
              </w:rPr>
            </w:pPr>
            <w:r>
              <w:t>5</w:t>
            </w:r>
          </w:p>
        </w:tc>
        <w:tc>
          <w:tcPr>
            <w:tcW w:w="24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bottom"/>
            <w:hideMark/>
          </w:tcPr>
          <w:p w14:paraId="00EF9713" w14:textId="77777777" w:rsidR="005D07A6" w:rsidRDefault="00F42774">
            <w:pPr>
              <w:pStyle w:val="TA1"/>
              <w:jc w:val="center"/>
              <w:rPr>
                <w:rFonts w:eastAsiaTheme="minorEastAsia"/>
              </w:rPr>
            </w:pPr>
            <w:r>
              <w:t>4</w:t>
            </w:r>
          </w:p>
        </w:tc>
        <w:tc>
          <w:tcPr>
            <w:tcW w:w="9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2835793" w14:textId="77777777" w:rsidR="005D07A6" w:rsidRDefault="00F42774">
            <w:pPr>
              <w:pStyle w:val="TA1"/>
              <w:jc w:val="center"/>
              <w:rPr>
                <w:rFonts w:eastAsiaTheme="minorEastAsia"/>
              </w:rPr>
            </w:pPr>
            <w:r>
              <w:t>4</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3C34134"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4A9199A" w14:textId="77777777" w:rsidR="005D07A6" w:rsidRDefault="005D07A6"/>
        </w:tc>
      </w:tr>
      <w:tr w:rsidR="005D07A6" w14:paraId="6CC3F049" w14:textId="77777777">
        <w:tc>
          <w:tcPr>
            <w:tcW w:w="735"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6089B00" w14:textId="77777777" w:rsidR="005D07A6" w:rsidRDefault="00F42774">
            <w:pPr>
              <w:pStyle w:val="TA1"/>
              <w:rPr>
                <w:rFonts w:eastAsiaTheme="minorEastAsia"/>
              </w:rPr>
            </w:pPr>
            <w:r>
              <w:t>Sous-total</w:t>
            </w:r>
          </w:p>
        </w:tc>
        <w:tc>
          <w:tcPr>
            <w:tcW w:w="240" w:type="dxa"/>
            <w:gridSpan w:val="5"/>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32F2C5C" w14:textId="77777777" w:rsidR="005D07A6" w:rsidRDefault="00F42774">
            <w:pPr>
              <w:pStyle w:val="TA1"/>
              <w:jc w:val="center"/>
              <w:rPr>
                <w:rFonts w:eastAsiaTheme="minorEastAsia"/>
              </w:rPr>
            </w:pPr>
            <w:r>
              <w:t>37</w:t>
            </w:r>
          </w:p>
        </w:tc>
        <w:tc>
          <w:tcPr>
            <w:tcW w:w="240" w:type="dxa"/>
            <w:gridSpan w:val="3"/>
            <w:tcBorders>
              <w:top w:val="single" w:sz="4" w:space="0" w:color="auto"/>
              <w:left w:val="single" w:sz="4" w:space="0" w:color="auto"/>
              <w:bottom w:val="single" w:sz="4" w:space="0" w:color="auto"/>
              <w:right w:val="nil"/>
            </w:tcBorders>
            <w:tcMar>
              <w:top w:w="0" w:type="dxa"/>
              <w:left w:w="2" w:type="dxa"/>
              <w:bottom w:w="0" w:type="dxa"/>
              <w:right w:w="2" w:type="dxa"/>
            </w:tcMar>
            <w:vAlign w:val="center"/>
            <w:hideMark/>
          </w:tcPr>
          <w:p w14:paraId="73C5ABB2" w14:textId="77777777" w:rsidR="005D07A6" w:rsidRDefault="00F42774">
            <w:pPr>
              <w:pStyle w:val="TA1"/>
              <w:jc w:val="center"/>
              <w:rPr>
                <w:rFonts w:eastAsiaTheme="minorEastAsia"/>
              </w:rPr>
            </w:pPr>
            <w:r>
              <w:t>25</w:t>
            </w:r>
          </w:p>
        </w:tc>
        <w:tc>
          <w:tcPr>
            <w:tcW w:w="240" w:type="dxa"/>
            <w:gridSpan w:val="3"/>
            <w:tcBorders>
              <w:top w:val="single" w:sz="4" w:space="0" w:color="auto"/>
              <w:left w:val="single" w:sz="4" w:space="0" w:color="auto"/>
              <w:bottom w:val="single" w:sz="4" w:space="0" w:color="auto"/>
              <w:right w:val="nil"/>
            </w:tcBorders>
            <w:tcMar>
              <w:top w:w="0" w:type="dxa"/>
              <w:left w:w="2" w:type="dxa"/>
              <w:bottom w:w="0" w:type="dxa"/>
              <w:right w:w="2" w:type="dxa"/>
            </w:tcMar>
            <w:vAlign w:val="center"/>
            <w:hideMark/>
          </w:tcPr>
          <w:p w14:paraId="0158C99F" w14:textId="77777777" w:rsidR="005D07A6" w:rsidRDefault="00F42774">
            <w:pPr>
              <w:pStyle w:val="TA1"/>
              <w:jc w:val="center"/>
              <w:rPr>
                <w:rFonts w:eastAsiaTheme="minorEastAsia"/>
              </w:rPr>
            </w:pPr>
            <w:r>
              <w:t>14</w:t>
            </w:r>
          </w:p>
        </w:tc>
        <w:tc>
          <w:tcPr>
            <w:tcW w:w="94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63B9946" w14:textId="77777777" w:rsidR="005D07A6" w:rsidRDefault="00F42774">
            <w:pPr>
              <w:pStyle w:val="TA1"/>
              <w:jc w:val="center"/>
              <w:rPr>
                <w:rFonts w:eastAsiaTheme="minorEastAsia"/>
              </w:rPr>
            </w:pPr>
            <w:r>
              <w:t>4</w:t>
            </w:r>
          </w:p>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773FB54" w14:textId="77777777" w:rsidR="005D07A6" w:rsidRDefault="005D07A6"/>
        </w:tc>
        <w:tc>
          <w:tcPr>
            <w:tcW w:w="52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77DB635" w14:textId="77777777" w:rsidR="005D07A6" w:rsidRDefault="005D07A6"/>
        </w:tc>
      </w:tr>
    </w:tbl>
    <w:p w14:paraId="33E602FA" w14:textId="77777777" w:rsidR="005D07A6" w:rsidRDefault="00F42774">
      <w:pPr>
        <w:pStyle w:val="finfilet"/>
        <w:rPr>
          <w:rFonts w:eastAsiaTheme="minorEastAsia"/>
        </w:rPr>
      </w:pPr>
      <w:r>
        <w:t>Fin Remarque</w:t>
      </w:r>
    </w:p>
    <w:p w14:paraId="1A0CFE60" w14:textId="77777777" w:rsidR="005D07A6" w:rsidRDefault="00F42774">
      <w:pPr>
        <w:pStyle w:val="debutfiletr"/>
      </w:pPr>
      <w:r>
        <w:t>Exercice_n-1</w:t>
      </w:r>
    </w:p>
    <w:p w14:paraId="7F875C46" w14:textId="77777777" w:rsidR="005D07A6" w:rsidRDefault="00F42774">
      <w:pPr>
        <w:pStyle w:val="LibelleRubrique"/>
      </w:pPr>
      <w:r>
        <w:t xml:space="preserve">Exercice </w:t>
      </w:r>
    </w:p>
    <w:p w14:paraId="06EBDA80" w14:textId="77777777" w:rsidR="005D07A6" w:rsidRDefault="00F42774">
      <w:pPr>
        <w:pStyle w:val="TitreRubrique"/>
      </w:pPr>
      <w:r>
        <w:t xml:space="preserve">La société FERRONNERIE DE L’EST </w:t>
      </w:r>
    </w:p>
    <w:p w14:paraId="212A17B9" w14:textId="77777777" w:rsidR="005D07A6" w:rsidRDefault="00F42774">
      <w:pPr>
        <w:pStyle w:val="NbPoint"/>
      </w:pPr>
      <w:r>
        <w:t>(37 points)</w:t>
      </w:r>
    </w:p>
    <w:p w14:paraId="66DCE906" w14:textId="77777777" w:rsidR="005D07A6" w:rsidRDefault="00F42774">
      <w:pPr>
        <w:pStyle w:val="debutfilet"/>
      </w:pPr>
      <w:r>
        <w:t>Enonce</w:t>
      </w:r>
    </w:p>
    <w:p w14:paraId="43E47CB2" w14:textId="77777777" w:rsidR="005D07A6" w:rsidRDefault="00F42774">
      <w:pPr>
        <w:pStyle w:val="CT"/>
      </w:pPr>
      <w:r>
        <w:t>La société FERRONNERIE DE L’EST est un sous-traitant qui fabrique, pour des groupes industriels, des culasses en fonte et de culasses métalliques d’un poids de 10 kg pour chacun des modèles.</w:t>
      </w:r>
    </w:p>
    <w:p w14:paraId="2F90999F" w14:textId="77777777" w:rsidR="005D07A6" w:rsidRDefault="00F42774">
      <w:pPr>
        <w:pStyle w:val="CT"/>
      </w:pPr>
      <w:r>
        <w:t>L’activité concerne le mois de septembre de l’année 2025.</w:t>
      </w:r>
    </w:p>
    <w:p w14:paraId="5962443F" w14:textId="77777777" w:rsidR="005D07A6" w:rsidRDefault="00F42774">
      <w:pPr>
        <w:pStyle w:val="CT"/>
      </w:pPr>
      <w:r>
        <w:lastRenderedPageBreak/>
        <w:t>Le processus de fabrication des cuves s’effectue dans trois ateliers :</w:t>
      </w:r>
    </w:p>
    <w:p w14:paraId="29E11CC6" w14:textId="77777777" w:rsidR="005D07A6" w:rsidRDefault="00F42774">
      <w:pPr>
        <w:pStyle w:val="CT"/>
      </w:pPr>
      <w:r>
        <w:rPr>
          <w:b/>
          <w:bCs/>
        </w:rPr>
        <w:t>Atelier A :</w:t>
      </w:r>
      <w:r>
        <w:t xml:space="preserve"> écrouissage de lingots de fontes et d’acier en plaques. L’écrouissage consiste à battre un métal à froid ou à une température inférieure à sa température, et éventuellement l’étirer ou le laminer pour le rendre plus dense, plus élastique et plus résistant.</w:t>
      </w:r>
    </w:p>
    <w:p w14:paraId="3C19A362" w14:textId="77777777" w:rsidR="005D07A6" w:rsidRDefault="00F42774">
      <w:pPr>
        <w:pStyle w:val="CT"/>
      </w:pPr>
      <w:r>
        <w:rPr>
          <w:b/>
          <w:bCs/>
        </w:rPr>
        <w:t>Atelier B :</w:t>
      </w:r>
      <w:r>
        <w:t xml:space="preserve"> presses.</w:t>
      </w:r>
    </w:p>
    <w:p w14:paraId="3E9DBD12" w14:textId="77777777" w:rsidR="005D07A6" w:rsidRDefault="00F42774">
      <w:pPr>
        <w:pStyle w:val="CT"/>
      </w:pPr>
      <w:r>
        <w:rPr>
          <w:b/>
          <w:bCs/>
        </w:rPr>
        <w:t>Atelier C :</w:t>
      </w:r>
      <w:r>
        <w:t xml:space="preserve"> fabrication de culasses en fonte (P1) et de culasses en acier (P2) à partir de deux matières premières différentes, des lingots de fonte (M1) et des lingots d’acier (M2).</w:t>
      </w:r>
    </w:p>
    <w:p w14:paraId="446B268B" w14:textId="77777777" w:rsidR="005D07A6" w:rsidRDefault="00F42774">
      <w:pPr>
        <w:pStyle w:val="CT"/>
      </w:pPr>
      <w:r>
        <w:t>Les lingots M1 passent d’abord dans l’atelier A où ils perdent 10 % de leur poids, puis dans l’atelier C pour donner le produit P1 (culasses en fonte).</w:t>
      </w:r>
    </w:p>
    <w:p w14:paraId="5DB27584" w14:textId="77777777" w:rsidR="005D07A6" w:rsidRDefault="00F42774">
      <w:pPr>
        <w:pStyle w:val="CT"/>
      </w:pPr>
      <w:r>
        <w:t>Les lingots M2 sont traités dans l’atelier A où ils perdent également 10 % de leur poids, puis dans les ateliers B et C pour donner le produit P2 (culasses en acier).</w:t>
      </w:r>
    </w:p>
    <w:p w14:paraId="22532CAF" w14:textId="77777777" w:rsidR="005D07A6" w:rsidRDefault="00F42774">
      <w:pPr>
        <w:pStyle w:val="CT"/>
      </w:pPr>
      <w:r>
        <w:t>L’activité de l’entreprise est répartie entre huit centres d’analyse :</w:t>
      </w:r>
    </w:p>
    <w:p w14:paraId="6BE60658" w14:textId="77777777" w:rsidR="005D07A6" w:rsidRDefault="00F42774">
      <w:pPr>
        <w:pStyle w:val="ET"/>
      </w:pPr>
      <w:r>
        <w:t>Trois centres auxiliaires :</w:t>
      </w:r>
    </w:p>
    <w:p w14:paraId="728E56D3" w14:textId="77777777" w:rsidR="005D07A6" w:rsidRDefault="00F42774">
      <w:pPr>
        <w:pStyle w:val="SEP"/>
      </w:pPr>
      <w:r>
        <w:t>Administration</w:t>
      </w:r>
    </w:p>
    <w:p w14:paraId="59A5DC67" w14:textId="77777777" w:rsidR="005D07A6" w:rsidRDefault="00F42774">
      <w:pPr>
        <w:pStyle w:val="SEP"/>
      </w:pPr>
      <w:r>
        <w:t>Énergie</w:t>
      </w:r>
    </w:p>
    <w:p w14:paraId="4B055015" w14:textId="77777777" w:rsidR="005D07A6" w:rsidRDefault="00F42774">
      <w:pPr>
        <w:pStyle w:val="SEP"/>
      </w:pPr>
      <w:r>
        <w:t>Transport</w:t>
      </w:r>
    </w:p>
    <w:p w14:paraId="25DE085A" w14:textId="77777777" w:rsidR="005D07A6" w:rsidRDefault="00F42774">
      <w:pPr>
        <w:pStyle w:val="ET"/>
      </w:pPr>
      <w:r>
        <w:t>Cinq centres principaux :</w:t>
      </w:r>
    </w:p>
    <w:p w14:paraId="51F32C8D" w14:textId="77777777" w:rsidR="005D07A6" w:rsidRDefault="00F42774">
      <w:pPr>
        <w:pStyle w:val="SEP"/>
      </w:pPr>
      <w:r>
        <w:t>Approvisionnement</w:t>
      </w:r>
    </w:p>
    <w:p w14:paraId="7900FE7A" w14:textId="77777777" w:rsidR="005D07A6" w:rsidRDefault="00F42774">
      <w:pPr>
        <w:pStyle w:val="SEP"/>
      </w:pPr>
      <w:r>
        <w:t>Atelier A (écrouissage)</w:t>
      </w:r>
    </w:p>
    <w:p w14:paraId="362F85AF" w14:textId="77777777" w:rsidR="005D07A6" w:rsidRDefault="00F42774">
      <w:pPr>
        <w:pStyle w:val="SEP"/>
      </w:pPr>
      <w:r>
        <w:t>Atelier B (presses)</w:t>
      </w:r>
    </w:p>
    <w:p w14:paraId="58284BB0" w14:textId="77777777" w:rsidR="005D07A6" w:rsidRDefault="00F42774">
      <w:pPr>
        <w:pStyle w:val="SEP"/>
      </w:pPr>
      <w:r>
        <w:t>Atelier C (fabrication)</w:t>
      </w:r>
    </w:p>
    <w:p w14:paraId="1CEC72DC" w14:textId="77777777" w:rsidR="005D07A6" w:rsidRDefault="00F42774">
      <w:pPr>
        <w:pStyle w:val="SEP"/>
      </w:pPr>
      <w:r>
        <w:t>Distribution</w:t>
      </w:r>
    </w:p>
    <w:p w14:paraId="35FF262F" w14:textId="77777777" w:rsidR="005D07A6" w:rsidRDefault="00F42774">
      <w:pPr>
        <w:pStyle w:val="CT"/>
      </w:pPr>
      <w:r>
        <w:t>Les dépenses de matières premières pour le mois de septembre de l’année 2025 représentent les seules charges directes.</w:t>
      </w:r>
    </w:p>
    <w:p w14:paraId="18689EC3" w14:textId="77777777" w:rsidR="005D07A6" w:rsidRDefault="00F42774">
      <w:pPr>
        <w:pStyle w:val="CT"/>
      </w:pPr>
      <w:r>
        <w:t>Pour le calcul des coûts de revient du mois de septembre de l’année 2025, il faut tenir compte de la remarque suivante : 6 000 € de charges supplétives sont incorporables dans le centre Administration.</w:t>
      </w:r>
    </w:p>
    <w:p w14:paraId="009F4F79" w14:textId="77777777" w:rsidR="005D07A6" w:rsidRDefault="00F42774">
      <w:pPr>
        <w:pStyle w:val="CT"/>
      </w:pPr>
      <w:r>
        <w:t>La ventilation des charges indirectes est donnée ci-après :</w:t>
      </w:r>
    </w:p>
    <w:tbl>
      <w:tblPr>
        <w:tblW w:w="7660" w:type="dxa"/>
        <w:tblInd w:w="1701" w:type="dxa"/>
        <w:tblLook w:val="04A0" w:firstRow="1" w:lastRow="0" w:firstColumn="1" w:lastColumn="0" w:noHBand="0" w:noVBand="1"/>
      </w:tblPr>
      <w:tblGrid>
        <w:gridCol w:w="1301"/>
        <w:gridCol w:w="620"/>
        <w:gridCol w:w="671"/>
        <w:gridCol w:w="851"/>
        <w:gridCol w:w="590"/>
        <w:gridCol w:w="751"/>
        <w:gridCol w:w="751"/>
        <w:gridCol w:w="751"/>
        <w:gridCol w:w="1020"/>
        <w:gridCol w:w="440"/>
      </w:tblGrid>
      <w:tr w:rsidR="005D07A6" w14:paraId="7AD0D499" w14:textId="77777777">
        <w:tc>
          <w:tcPr>
            <w:tcW w:w="900" w:type="dxa"/>
            <w:vMerge w:val="restart"/>
            <w:tcBorders>
              <w:top w:val="nil"/>
              <w:left w:val="nil"/>
              <w:bottom w:val="single" w:sz="4" w:space="0" w:color="auto"/>
              <w:right w:val="single" w:sz="4" w:space="0" w:color="auto"/>
            </w:tcBorders>
            <w:tcMar>
              <w:top w:w="0" w:type="dxa"/>
              <w:left w:w="2" w:type="dxa"/>
              <w:bottom w:w="0" w:type="dxa"/>
              <w:right w:w="2" w:type="dxa"/>
            </w:tcMar>
            <w:vAlign w:val="bottom"/>
            <w:hideMark/>
          </w:tcPr>
          <w:p w14:paraId="7AB88402" w14:textId="77777777" w:rsidR="005D07A6" w:rsidRDefault="005D07A6"/>
        </w:tc>
        <w:tc>
          <w:tcPr>
            <w:tcW w:w="510" w:type="dxa"/>
            <w:gridSpan w:val="3"/>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3AD43A1" w14:textId="77777777" w:rsidR="005D07A6" w:rsidRDefault="00F42774">
            <w:pPr>
              <w:pStyle w:val="TA1"/>
              <w:jc w:val="center"/>
              <w:rPr>
                <w:rFonts w:eastAsiaTheme="minorEastAsia"/>
              </w:rPr>
            </w:pPr>
            <w:r>
              <w:rPr>
                <w:b/>
                <w:bCs/>
              </w:rPr>
              <w:t>Centres auxiliaires</w:t>
            </w:r>
          </w:p>
        </w:tc>
        <w:tc>
          <w:tcPr>
            <w:tcW w:w="510" w:type="dxa"/>
            <w:gridSpan w:val="5"/>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9084316" w14:textId="77777777" w:rsidR="005D07A6" w:rsidRDefault="00F42774">
            <w:pPr>
              <w:pStyle w:val="TA1"/>
              <w:jc w:val="center"/>
              <w:rPr>
                <w:rFonts w:eastAsiaTheme="minorEastAsia"/>
              </w:rPr>
            </w:pPr>
            <w:r>
              <w:rPr>
                <w:b/>
                <w:bCs/>
              </w:rPr>
              <w:t>Centres principaux</w:t>
            </w:r>
          </w:p>
        </w:tc>
        <w:tc>
          <w:tcPr>
            <w:tcW w:w="510" w:type="dxa"/>
            <w:tcBorders>
              <w:top w:val="nil"/>
              <w:left w:val="single" w:sz="4" w:space="0" w:color="auto"/>
              <w:bottom w:val="single" w:sz="4" w:space="0" w:color="auto"/>
              <w:right w:val="nil"/>
            </w:tcBorders>
            <w:tcMar>
              <w:top w:w="0" w:type="dxa"/>
              <w:left w:w="2" w:type="dxa"/>
              <w:bottom w:w="0" w:type="dxa"/>
              <w:right w:w="2" w:type="dxa"/>
            </w:tcMar>
            <w:vAlign w:val="center"/>
            <w:hideMark/>
          </w:tcPr>
          <w:p w14:paraId="4D02ADC2" w14:textId="77777777" w:rsidR="005D07A6" w:rsidRDefault="005D07A6"/>
        </w:tc>
      </w:tr>
      <w:tr w:rsidR="005D07A6" w14:paraId="79295122" w14:textId="77777777">
        <w:tc>
          <w:tcPr>
            <w:tcW w:w="0" w:type="auto"/>
            <w:vMerge/>
            <w:tcBorders>
              <w:top w:val="nil"/>
              <w:left w:val="nil"/>
              <w:bottom w:val="single" w:sz="4" w:space="0" w:color="auto"/>
              <w:right w:val="single" w:sz="4" w:space="0" w:color="auto"/>
            </w:tcBorders>
            <w:vAlign w:val="center"/>
            <w:hideMark/>
          </w:tcPr>
          <w:p w14:paraId="3878EBB7" w14:textId="77777777" w:rsidR="005D07A6" w:rsidRDefault="005D07A6"/>
        </w:tc>
        <w:tc>
          <w:tcPr>
            <w:tcW w:w="51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1F7A852" w14:textId="77777777" w:rsidR="005D07A6" w:rsidRDefault="00F42774">
            <w:pPr>
              <w:pStyle w:val="TA1"/>
              <w:jc w:val="center"/>
              <w:rPr>
                <w:rFonts w:eastAsiaTheme="minorEastAsia"/>
              </w:rPr>
            </w:pPr>
            <w:r>
              <w:rPr>
                <w:b/>
                <w:bCs/>
              </w:rPr>
              <w:t>Admin.</w:t>
            </w:r>
          </w:p>
        </w:tc>
        <w:tc>
          <w:tcPr>
            <w:tcW w:w="51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5010749" w14:textId="77777777" w:rsidR="005D07A6" w:rsidRDefault="00F42774">
            <w:pPr>
              <w:pStyle w:val="TA1"/>
              <w:jc w:val="center"/>
              <w:rPr>
                <w:rFonts w:eastAsiaTheme="minorEastAsia"/>
              </w:rPr>
            </w:pPr>
            <w:r>
              <w:rPr>
                <w:b/>
                <w:bCs/>
              </w:rPr>
              <w:t>Énergie</w:t>
            </w:r>
          </w:p>
        </w:tc>
        <w:tc>
          <w:tcPr>
            <w:tcW w:w="60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3816FE1" w14:textId="77777777" w:rsidR="005D07A6" w:rsidRDefault="00F42774">
            <w:pPr>
              <w:pStyle w:val="TA1"/>
              <w:jc w:val="center"/>
              <w:rPr>
                <w:rFonts w:eastAsiaTheme="minorEastAsia"/>
              </w:rPr>
            </w:pPr>
            <w:r>
              <w:rPr>
                <w:b/>
                <w:bCs/>
              </w:rPr>
              <w:t>Transport</w:t>
            </w:r>
          </w:p>
        </w:tc>
        <w:tc>
          <w:tcPr>
            <w:tcW w:w="51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7AE0E50" w14:textId="77777777" w:rsidR="005D07A6" w:rsidRDefault="00F42774">
            <w:pPr>
              <w:pStyle w:val="TA1"/>
              <w:jc w:val="center"/>
              <w:rPr>
                <w:rFonts w:eastAsiaTheme="minorEastAsia"/>
              </w:rPr>
            </w:pPr>
            <w:r>
              <w:rPr>
                <w:b/>
                <w:bCs/>
              </w:rPr>
              <w:t>Appro.</w:t>
            </w:r>
          </w:p>
        </w:tc>
        <w:tc>
          <w:tcPr>
            <w:tcW w:w="51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7B67EB66" w14:textId="77777777" w:rsidR="005D07A6" w:rsidRDefault="00F42774">
            <w:pPr>
              <w:pStyle w:val="TA1"/>
              <w:jc w:val="center"/>
              <w:rPr>
                <w:rFonts w:eastAsiaTheme="minorEastAsia"/>
              </w:rPr>
            </w:pPr>
            <w:r>
              <w:rPr>
                <w:b/>
                <w:bCs/>
              </w:rPr>
              <w:t>Atelier A</w:t>
            </w:r>
          </w:p>
        </w:tc>
        <w:tc>
          <w:tcPr>
            <w:tcW w:w="51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CBEAE2D" w14:textId="77777777" w:rsidR="005D07A6" w:rsidRDefault="00F42774">
            <w:pPr>
              <w:pStyle w:val="TA1"/>
              <w:jc w:val="center"/>
              <w:rPr>
                <w:rFonts w:eastAsiaTheme="minorEastAsia"/>
              </w:rPr>
            </w:pPr>
            <w:r>
              <w:rPr>
                <w:b/>
                <w:bCs/>
              </w:rPr>
              <w:t>Atelier B</w:t>
            </w:r>
          </w:p>
        </w:tc>
        <w:tc>
          <w:tcPr>
            <w:tcW w:w="51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A2CD396" w14:textId="77777777" w:rsidR="005D07A6" w:rsidRDefault="00F42774">
            <w:pPr>
              <w:pStyle w:val="TA1"/>
              <w:jc w:val="center"/>
              <w:rPr>
                <w:rFonts w:eastAsiaTheme="minorEastAsia"/>
              </w:rPr>
            </w:pPr>
            <w:r>
              <w:rPr>
                <w:b/>
                <w:bCs/>
              </w:rPr>
              <w:t>Atelier C</w:t>
            </w:r>
          </w:p>
        </w:tc>
        <w:tc>
          <w:tcPr>
            <w:tcW w:w="675"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4BDCFCC" w14:textId="77777777" w:rsidR="005D07A6" w:rsidRDefault="00F42774">
            <w:pPr>
              <w:pStyle w:val="TA1"/>
              <w:jc w:val="center"/>
              <w:rPr>
                <w:rFonts w:eastAsiaTheme="minorEastAsia"/>
              </w:rPr>
            </w:pPr>
            <w:r>
              <w:rPr>
                <w:b/>
                <w:bCs/>
              </w:rPr>
              <w:t>Distribution</w:t>
            </w:r>
          </w:p>
        </w:tc>
        <w:tc>
          <w:tcPr>
            <w:tcW w:w="51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0D9A8B0" w14:textId="77777777" w:rsidR="005D07A6" w:rsidRDefault="00F42774">
            <w:pPr>
              <w:pStyle w:val="TA1"/>
              <w:jc w:val="center"/>
              <w:rPr>
                <w:rFonts w:eastAsiaTheme="minorEastAsia"/>
              </w:rPr>
            </w:pPr>
            <w:r>
              <w:rPr>
                <w:b/>
                <w:bCs/>
              </w:rPr>
              <w:t>Total</w:t>
            </w:r>
          </w:p>
        </w:tc>
      </w:tr>
      <w:tr w:rsidR="005D07A6" w14:paraId="05DDD4A2" w14:textId="77777777">
        <w:tc>
          <w:tcPr>
            <w:tcW w:w="90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vAlign w:val="bottom"/>
            <w:hideMark/>
          </w:tcPr>
          <w:p w14:paraId="411A8674" w14:textId="77777777" w:rsidR="005D07A6" w:rsidRDefault="00F42774">
            <w:pPr>
              <w:pStyle w:val="TA1"/>
              <w:rPr>
                <w:rFonts w:eastAsiaTheme="minorEastAsia"/>
              </w:rPr>
            </w:pPr>
            <w:r>
              <w:t>Frais de personnel</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1A4E8C8" w14:textId="77777777" w:rsidR="005D07A6" w:rsidRDefault="00F42774">
            <w:pPr>
              <w:pStyle w:val="TA1"/>
              <w:jc w:val="right"/>
              <w:rPr>
                <w:rFonts w:eastAsiaTheme="minorEastAsia"/>
              </w:rPr>
            </w:pPr>
            <w:r>
              <w:t>19 000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E8315ED" w14:textId="77777777" w:rsidR="005D07A6" w:rsidRDefault="00F42774">
            <w:pPr>
              <w:pStyle w:val="TA1"/>
              <w:jc w:val="right"/>
              <w:rPr>
                <w:rFonts w:eastAsiaTheme="minorEastAsia"/>
              </w:rPr>
            </w:pPr>
            <w:r>
              <w:t>6 000</w:t>
            </w:r>
          </w:p>
        </w:tc>
        <w:tc>
          <w:tcPr>
            <w:tcW w:w="6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5ECF3B3" w14:textId="77777777" w:rsidR="005D07A6" w:rsidRDefault="00F42774">
            <w:pPr>
              <w:pStyle w:val="TA1"/>
              <w:jc w:val="right"/>
              <w:rPr>
                <w:rFonts w:eastAsiaTheme="minorEastAsia"/>
              </w:rPr>
            </w:pPr>
            <w:r>
              <w:t>3 000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E4DE243" w14:textId="77777777" w:rsidR="005D07A6" w:rsidRDefault="00F42774">
            <w:pPr>
              <w:pStyle w:val="TA1"/>
              <w:jc w:val="right"/>
              <w:rPr>
                <w:rFonts w:eastAsiaTheme="minorEastAsia"/>
              </w:rPr>
            </w:pPr>
            <w:r>
              <w:t>9 000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CEDDBB6" w14:textId="77777777" w:rsidR="005D07A6" w:rsidRDefault="00F42774">
            <w:pPr>
              <w:pStyle w:val="TA1"/>
              <w:jc w:val="right"/>
              <w:rPr>
                <w:rFonts w:eastAsiaTheme="minorEastAsia"/>
              </w:rPr>
            </w:pPr>
            <w:r>
              <w:t>48 000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C12B7E0" w14:textId="77777777" w:rsidR="005D07A6" w:rsidRDefault="00F42774">
            <w:pPr>
              <w:pStyle w:val="TA1"/>
              <w:jc w:val="right"/>
              <w:rPr>
                <w:rFonts w:eastAsiaTheme="minorEastAsia"/>
              </w:rPr>
            </w:pPr>
            <w:r>
              <w:t>18 800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524CF49" w14:textId="77777777" w:rsidR="005D07A6" w:rsidRDefault="00F42774">
            <w:pPr>
              <w:pStyle w:val="TA1"/>
              <w:jc w:val="right"/>
              <w:rPr>
                <w:rFonts w:eastAsiaTheme="minorEastAsia"/>
              </w:rPr>
            </w:pPr>
            <w:r>
              <w:t>25 000</w:t>
            </w:r>
          </w:p>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031053A" w14:textId="77777777" w:rsidR="005D07A6" w:rsidRDefault="00F42774">
            <w:pPr>
              <w:pStyle w:val="TA1"/>
              <w:jc w:val="right"/>
              <w:rPr>
                <w:rFonts w:eastAsiaTheme="minorEastAsia"/>
              </w:rPr>
            </w:pPr>
            <w:r>
              <w:t>12 500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3A25685" w14:textId="77777777" w:rsidR="005D07A6" w:rsidRDefault="00F42774">
            <w:pPr>
              <w:pStyle w:val="TA1"/>
              <w:jc w:val="right"/>
              <w:rPr>
                <w:rFonts w:eastAsiaTheme="minorEastAsia"/>
              </w:rPr>
            </w:pPr>
            <w:r>
              <w:t>141 300</w:t>
            </w:r>
          </w:p>
        </w:tc>
      </w:tr>
      <w:tr w:rsidR="005D07A6" w14:paraId="2D6BA558" w14:textId="77777777">
        <w:tc>
          <w:tcPr>
            <w:tcW w:w="90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vAlign w:val="bottom"/>
            <w:hideMark/>
          </w:tcPr>
          <w:p w14:paraId="2A32F3B0" w14:textId="77777777" w:rsidR="005D07A6" w:rsidRDefault="00F42774">
            <w:pPr>
              <w:pStyle w:val="TA1"/>
              <w:rPr>
                <w:rFonts w:eastAsiaTheme="minorEastAsia"/>
              </w:rPr>
            </w:pPr>
            <w:r>
              <w:t>Autres charges</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FBB808C" w14:textId="77777777" w:rsidR="005D07A6" w:rsidRDefault="00F42774">
            <w:pPr>
              <w:pStyle w:val="TA1"/>
              <w:jc w:val="right"/>
              <w:rPr>
                <w:rFonts w:eastAsiaTheme="minorEastAsia"/>
              </w:rPr>
            </w:pPr>
            <w:r>
              <w:t>72 000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73F845A" w14:textId="77777777" w:rsidR="005D07A6" w:rsidRDefault="00F42774">
            <w:pPr>
              <w:pStyle w:val="TA1"/>
              <w:jc w:val="right"/>
              <w:rPr>
                <w:rFonts w:eastAsiaTheme="minorEastAsia"/>
              </w:rPr>
            </w:pPr>
            <w:r>
              <w:t>15 000</w:t>
            </w:r>
          </w:p>
        </w:tc>
        <w:tc>
          <w:tcPr>
            <w:tcW w:w="6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AC55686" w14:textId="77777777" w:rsidR="005D07A6" w:rsidRDefault="00F42774">
            <w:pPr>
              <w:pStyle w:val="TA1"/>
              <w:jc w:val="right"/>
              <w:rPr>
                <w:rFonts w:eastAsiaTheme="minorEastAsia"/>
              </w:rPr>
            </w:pPr>
            <w:r>
              <w:t>9 500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F9526C0" w14:textId="77777777" w:rsidR="005D07A6" w:rsidRDefault="00F42774">
            <w:pPr>
              <w:pStyle w:val="TA1"/>
              <w:jc w:val="right"/>
              <w:rPr>
                <w:rFonts w:eastAsiaTheme="minorEastAsia"/>
              </w:rPr>
            </w:pPr>
            <w:r>
              <w:t>7 600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7FC65F2" w14:textId="77777777" w:rsidR="005D07A6" w:rsidRDefault="00F42774">
            <w:pPr>
              <w:pStyle w:val="TA1"/>
              <w:jc w:val="right"/>
              <w:rPr>
                <w:rFonts w:eastAsiaTheme="minorEastAsia"/>
              </w:rPr>
            </w:pPr>
            <w:r>
              <w:t>24 000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8DFD8B9" w14:textId="77777777" w:rsidR="005D07A6" w:rsidRDefault="00F42774">
            <w:pPr>
              <w:pStyle w:val="TA1"/>
              <w:jc w:val="right"/>
              <w:rPr>
                <w:rFonts w:eastAsiaTheme="minorEastAsia"/>
              </w:rPr>
            </w:pPr>
            <w:r>
              <w:t>27 000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E89E297" w14:textId="77777777" w:rsidR="005D07A6" w:rsidRDefault="00F42774">
            <w:pPr>
              <w:pStyle w:val="TA1"/>
              <w:jc w:val="right"/>
              <w:rPr>
                <w:rFonts w:eastAsiaTheme="minorEastAsia"/>
              </w:rPr>
            </w:pPr>
            <w:r>
              <w:t>36 000</w:t>
            </w:r>
          </w:p>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AC662DE" w14:textId="77777777" w:rsidR="005D07A6" w:rsidRDefault="00F42774">
            <w:pPr>
              <w:pStyle w:val="TA1"/>
              <w:jc w:val="right"/>
              <w:rPr>
                <w:rFonts w:eastAsiaTheme="minorEastAsia"/>
              </w:rPr>
            </w:pPr>
            <w:r>
              <w:t>50 000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7CBB857" w14:textId="77777777" w:rsidR="005D07A6" w:rsidRDefault="00F42774">
            <w:pPr>
              <w:pStyle w:val="TA1"/>
              <w:jc w:val="right"/>
              <w:rPr>
                <w:rFonts w:eastAsiaTheme="minorEastAsia"/>
              </w:rPr>
            </w:pPr>
            <w:r>
              <w:t>241 100</w:t>
            </w:r>
          </w:p>
        </w:tc>
      </w:tr>
      <w:tr w:rsidR="005D07A6" w14:paraId="1E727AF9" w14:textId="77777777">
        <w:tc>
          <w:tcPr>
            <w:tcW w:w="90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vAlign w:val="bottom"/>
            <w:hideMark/>
          </w:tcPr>
          <w:p w14:paraId="15B2DC3D" w14:textId="77777777" w:rsidR="005D07A6" w:rsidRDefault="00F42774">
            <w:pPr>
              <w:pStyle w:val="TA1"/>
              <w:rPr>
                <w:rFonts w:eastAsiaTheme="minorEastAsia"/>
              </w:rPr>
            </w:pPr>
            <w:r>
              <w:t>Amortissements</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9B7DDA4" w14:textId="77777777" w:rsidR="005D07A6" w:rsidRDefault="00F42774">
            <w:pPr>
              <w:pStyle w:val="TA1"/>
              <w:jc w:val="right"/>
              <w:rPr>
                <w:rFonts w:eastAsiaTheme="minorEastAsia"/>
              </w:rPr>
            </w:pPr>
            <w:r>
              <w:t>3 000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DBE8902" w14:textId="77777777" w:rsidR="005D07A6" w:rsidRDefault="00F42774">
            <w:pPr>
              <w:pStyle w:val="TA1"/>
              <w:jc w:val="right"/>
              <w:rPr>
                <w:rFonts w:eastAsiaTheme="minorEastAsia"/>
              </w:rPr>
            </w:pPr>
            <w:r>
              <w:t>9 000</w:t>
            </w:r>
          </w:p>
        </w:tc>
        <w:tc>
          <w:tcPr>
            <w:tcW w:w="6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19B06EA" w14:textId="77777777" w:rsidR="005D07A6" w:rsidRDefault="00F42774">
            <w:pPr>
              <w:pStyle w:val="TA1"/>
              <w:jc w:val="right"/>
              <w:rPr>
                <w:rFonts w:eastAsiaTheme="minorEastAsia"/>
              </w:rPr>
            </w:pPr>
            <w:r>
              <w:t>6 000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3651C24" w14:textId="77777777" w:rsidR="005D07A6" w:rsidRDefault="00F42774">
            <w:pPr>
              <w:pStyle w:val="TA1"/>
              <w:jc w:val="right"/>
              <w:rPr>
                <w:rFonts w:eastAsiaTheme="minorEastAsia"/>
              </w:rPr>
            </w:pPr>
            <w:r>
              <w:t>2 000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8F588D1" w14:textId="77777777" w:rsidR="005D07A6" w:rsidRDefault="00F42774">
            <w:pPr>
              <w:pStyle w:val="TA1"/>
              <w:jc w:val="right"/>
              <w:rPr>
                <w:rFonts w:eastAsiaTheme="minorEastAsia"/>
              </w:rPr>
            </w:pPr>
            <w:r>
              <w:t>24 000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E8E7797" w14:textId="77777777" w:rsidR="005D07A6" w:rsidRDefault="00F42774">
            <w:pPr>
              <w:pStyle w:val="TA1"/>
              <w:jc w:val="right"/>
              <w:rPr>
                <w:rFonts w:eastAsiaTheme="minorEastAsia"/>
              </w:rPr>
            </w:pPr>
            <w:r>
              <w:t>12 000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A8EC880" w14:textId="77777777" w:rsidR="005D07A6" w:rsidRDefault="00F42774">
            <w:pPr>
              <w:pStyle w:val="TA1"/>
              <w:jc w:val="right"/>
              <w:rPr>
                <w:rFonts w:eastAsiaTheme="minorEastAsia"/>
              </w:rPr>
            </w:pPr>
            <w:r>
              <w:t>18 000</w:t>
            </w:r>
          </w:p>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2AEBEE0" w14:textId="77777777" w:rsidR="005D07A6" w:rsidRDefault="00F42774">
            <w:pPr>
              <w:pStyle w:val="TA1"/>
              <w:jc w:val="right"/>
              <w:rPr>
                <w:rFonts w:eastAsiaTheme="minorEastAsia"/>
              </w:rPr>
            </w:pPr>
            <w:r>
              <w:t>6 000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4DD7230" w14:textId="77777777" w:rsidR="005D07A6" w:rsidRDefault="00F42774">
            <w:pPr>
              <w:pStyle w:val="TA1"/>
              <w:jc w:val="right"/>
              <w:rPr>
                <w:rFonts w:eastAsiaTheme="minorEastAsia"/>
              </w:rPr>
            </w:pPr>
            <w:r>
              <w:t>80 000</w:t>
            </w:r>
          </w:p>
        </w:tc>
      </w:tr>
      <w:tr w:rsidR="005D07A6" w14:paraId="239DAF6E" w14:textId="77777777">
        <w:tc>
          <w:tcPr>
            <w:tcW w:w="90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28E46CA3" w14:textId="77777777" w:rsidR="005D07A6" w:rsidRDefault="00F42774">
            <w:pPr>
              <w:pStyle w:val="TA1"/>
              <w:rPr>
                <w:rFonts w:eastAsiaTheme="minorEastAsia"/>
              </w:rPr>
            </w:pPr>
            <w:r>
              <w:t>Charges supplétives</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E287C4F" w14:textId="77777777" w:rsidR="005D07A6" w:rsidRDefault="00F42774">
            <w:pPr>
              <w:pStyle w:val="TA1"/>
              <w:jc w:val="right"/>
              <w:rPr>
                <w:rFonts w:eastAsiaTheme="minorEastAsia"/>
              </w:rPr>
            </w:pPr>
            <w:r>
              <w:t>6 000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235CD65" w14:textId="77777777" w:rsidR="005D07A6" w:rsidRDefault="005D07A6"/>
        </w:tc>
        <w:tc>
          <w:tcPr>
            <w:tcW w:w="6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5158EB4" w14:textId="77777777" w:rsidR="005D07A6" w:rsidRDefault="005D07A6"/>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71088A0" w14:textId="77777777" w:rsidR="005D07A6" w:rsidRDefault="005D07A6"/>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0563812" w14:textId="77777777" w:rsidR="005D07A6" w:rsidRDefault="005D07A6"/>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6B1CB20" w14:textId="77777777" w:rsidR="005D07A6" w:rsidRDefault="005D07A6"/>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DCA7A7F" w14:textId="77777777" w:rsidR="005D07A6" w:rsidRDefault="005D07A6"/>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BCA14F4" w14:textId="77777777" w:rsidR="005D07A6" w:rsidRDefault="005D07A6"/>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292C509" w14:textId="77777777" w:rsidR="005D07A6" w:rsidRDefault="00F42774">
            <w:pPr>
              <w:pStyle w:val="TA1"/>
              <w:jc w:val="right"/>
              <w:rPr>
                <w:rFonts w:eastAsiaTheme="minorEastAsia"/>
              </w:rPr>
            </w:pPr>
            <w:r>
              <w:t>6 000</w:t>
            </w:r>
          </w:p>
        </w:tc>
      </w:tr>
      <w:tr w:rsidR="005D07A6" w14:paraId="08CA685F" w14:textId="77777777">
        <w:tc>
          <w:tcPr>
            <w:tcW w:w="90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735FDB89" w14:textId="77777777" w:rsidR="005D07A6" w:rsidRDefault="00F42774">
            <w:pPr>
              <w:pStyle w:val="TA1"/>
              <w:rPr>
                <w:rFonts w:eastAsiaTheme="minorEastAsia"/>
              </w:rPr>
            </w:pPr>
            <w:r>
              <w:rPr>
                <w:b/>
                <w:bCs/>
              </w:rPr>
              <w:t>Total</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F760909" w14:textId="77777777" w:rsidR="005D07A6" w:rsidRDefault="00F42774">
            <w:pPr>
              <w:pStyle w:val="TA1"/>
              <w:jc w:val="right"/>
              <w:rPr>
                <w:rFonts w:eastAsiaTheme="minorEastAsia"/>
              </w:rPr>
            </w:pPr>
            <w:r>
              <w:rPr>
                <w:b/>
                <w:bCs/>
              </w:rPr>
              <w:t>100 000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E457843" w14:textId="77777777" w:rsidR="005D07A6" w:rsidRDefault="00F42774">
            <w:pPr>
              <w:pStyle w:val="TA1"/>
              <w:jc w:val="right"/>
              <w:rPr>
                <w:rFonts w:eastAsiaTheme="minorEastAsia"/>
              </w:rPr>
            </w:pPr>
            <w:r>
              <w:rPr>
                <w:b/>
                <w:bCs/>
              </w:rPr>
              <w:t>30 000</w:t>
            </w:r>
          </w:p>
        </w:tc>
        <w:tc>
          <w:tcPr>
            <w:tcW w:w="60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A235B96" w14:textId="77777777" w:rsidR="005D07A6" w:rsidRDefault="00F42774">
            <w:pPr>
              <w:pStyle w:val="TA1"/>
              <w:jc w:val="right"/>
              <w:rPr>
                <w:rFonts w:eastAsiaTheme="minorEastAsia"/>
              </w:rPr>
            </w:pPr>
            <w:r>
              <w:rPr>
                <w:b/>
                <w:bCs/>
              </w:rPr>
              <w:t>18 500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97D5AA3" w14:textId="77777777" w:rsidR="005D07A6" w:rsidRDefault="00F42774">
            <w:pPr>
              <w:pStyle w:val="TA1"/>
              <w:jc w:val="right"/>
              <w:rPr>
                <w:rFonts w:eastAsiaTheme="minorEastAsia"/>
              </w:rPr>
            </w:pPr>
            <w:r>
              <w:rPr>
                <w:b/>
                <w:bCs/>
              </w:rPr>
              <w:t>18 600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90B148D" w14:textId="77777777" w:rsidR="005D07A6" w:rsidRDefault="00F42774">
            <w:pPr>
              <w:pStyle w:val="TA1"/>
              <w:jc w:val="right"/>
              <w:rPr>
                <w:rFonts w:eastAsiaTheme="minorEastAsia"/>
              </w:rPr>
            </w:pPr>
            <w:r>
              <w:rPr>
                <w:b/>
                <w:bCs/>
              </w:rPr>
              <w:t>96 000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9205073" w14:textId="77777777" w:rsidR="005D07A6" w:rsidRDefault="00F42774">
            <w:pPr>
              <w:pStyle w:val="TA1"/>
              <w:jc w:val="right"/>
              <w:rPr>
                <w:rFonts w:eastAsiaTheme="minorEastAsia"/>
              </w:rPr>
            </w:pPr>
            <w:r>
              <w:rPr>
                <w:b/>
                <w:bCs/>
              </w:rPr>
              <w:t>57 800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7BAFC7C" w14:textId="77777777" w:rsidR="005D07A6" w:rsidRDefault="00F42774">
            <w:pPr>
              <w:pStyle w:val="TA1"/>
              <w:jc w:val="right"/>
              <w:rPr>
                <w:rFonts w:eastAsiaTheme="minorEastAsia"/>
              </w:rPr>
            </w:pPr>
            <w:r>
              <w:rPr>
                <w:b/>
                <w:bCs/>
              </w:rPr>
              <w:t>79 000</w:t>
            </w:r>
          </w:p>
        </w:tc>
        <w:tc>
          <w:tcPr>
            <w:tcW w:w="675"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B74D712" w14:textId="77777777" w:rsidR="005D07A6" w:rsidRDefault="00F42774">
            <w:pPr>
              <w:pStyle w:val="TA1"/>
              <w:jc w:val="right"/>
              <w:rPr>
                <w:rFonts w:eastAsiaTheme="minorEastAsia"/>
              </w:rPr>
            </w:pPr>
            <w:r>
              <w:rPr>
                <w:b/>
                <w:bCs/>
              </w:rPr>
              <w:t>68 500</w:t>
            </w:r>
          </w:p>
        </w:tc>
        <w:tc>
          <w:tcPr>
            <w:tcW w:w="51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C6BA5F4" w14:textId="77777777" w:rsidR="005D07A6" w:rsidRDefault="00F42774">
            <w:pPr>
              <w:pStyle w:val="TA1"/>
              <w:jc w:val="right"/>
              <w:rPr>
                <w:rFonts w:eastAsiaTheme="minorEastAsia"/>
              </w:rPr>
            </w:pPr>
            <w:r>
              <w:rPr>
                <w:b/>
                <w:bCs/>
              </w:rPr>
              <w:t>468 400</w:t>
            </w:r>
          </w:p>
        </w:tc>
      </w:tr>
    </w:tbl>
    <w:p w14:paraId="5812B91C" w14:textId="77777777" w:rsidR="005D07A6" w:rsidRDefault="00F42774">
      <w:pPr>
        <w:pStyle w:val="CT"/>
        <w:rPr>
          <w:rFonts w:eastAsiaTheme="minorEastAsia"/>
        </w:rPr>
      </w:pPr>
      <w:r>
        <w:t>Pour simplifier la présentation, certaines charges par nature ont été regroupées sous le vocable « Autres charges ».</w:t>
      </w:r>
    </w:p>
    <w:p w14:paraId="615454A4" w14:textId="77777777" w:rsidR="005D07A6" w:rsidRDefault="00F42774">
      <w:pPr>
        <w:pStyle w:val="CT"/>
      </w:pPr>
      <w:r>
        <w:t>La répartition secondaire des charges indirectes s’effectue selon les clés suivantes :</w:t>
      </w:r>
    </w:p>
    <w:p w14:paraId="7B3FFFE0" w14:textId="77777777" w:rsidR="005D07A6" w:rsidRDefault="00F42774">
      <w:pPr>
        <w:pStyle w:val="CT"/>
      </w:pPr>
      <w:r>
        <w:rPr>
          <w:b/>
          <w:bCs/>
        </w:rPr>
        <w:t>Centre Administration :</w:t>
      </w:r>
    </w:p>
    <w:p w14:paraId="61482E95" w14:textId="77777777" w:rsidR="005D07A6" w:rsidRDefault="00F42774">
      <w:pPr>
        <w:pStyle w:val="ET"/>
      </w:pPr>
      <w:r>
        <w:t>1/15 au centre Énergie</w:t>
      </w:r>
    </w:p>
    <w:p w14:paraId="292FEDDC" w14:textId="77777777" w:rsidR="005D07A6" w:rsidRDefault="00F42774">
      <w:pPr>
        <w:pStyle w:val="ET"/>
      </w:pPr>
      <w:r>
        <w:t>2/15 par centre aux centres Transport, Approvisionnement, Atelier A, Atelier B et Atelier C</w:t>
      </w:r>
    </w:p>
    <w:p w14:paraId="2EC4E1B2" w14:textId="77777777" w:rsidR="005D07A6" w:rsidRDefault="00F42774">
      <w:pPr>
        <w:pStyle w:val="ET"/>
      </w:pPr>
      <w:r>
        <w:t>4/15 au centre Distribution</w:t>
      </w:r>
    </w:p>
    <w:p w14:paraId="52133C29" w14:textId="77777777" w:rsidR="005D07A6" w:rsidRDefault="00F42774">
      <w:pPr>
        <w:pStyle w:val="CT"/>
      </w:pPr>
      <w:r>
        <w:rPr>
          <w:b/>
          <w:bCs/>
        </w:rPr>
        <w:t>Centre Énergie :</w:t>
      </w:r>
    </w:p>
    <w:p w14:paraId="46F7CA35" w14:textId="77777777" w:rsidR="005D07A6" w:rsidRDefault="00F42774">
      <w:pPr>
        <w:pStyle w:val="ET"/>
      </w:pPr>
      <w:r>
        <w:t>Administration 2/40</w:t>
      </w:r>
    </w:p>
    <w:p w14:paraId="2B1540E0" w14:textId="77777777" w:rsidR="005D07A6" w:rsidRDefault="00F42774">
      <w:pPr>
        <w:pStyle w:val="ET"/>
      </w:pPr>
      <w:r>
        <w:t>Transport 2/40</w:t>
      </w:r>
    </w:p>
    <w:p w14:paraId="6966A13F" w14:textId="77777777" w:rsidR="005D07A6" w:rsidRDefault="00F42774">
      <w:pPr>
        <w:pStyle w:val="ET"/>
      </w:pPr>
      <w:r>
        <w:t>Approvisionnement 6/40</w:t>
      </w:r>
    </w:p>
    <w:p w14:paraId="2144DFDB" w14:textId="77777777" w:rsidR="005D07A6" w:rsidRDefault="00F42774">
      <w:pPr>
        <w:pStyle w:val="ET"/>
      </w:pPr>
      <w:r>
        <w:t>Distribution 6/40</w:t>
      </w:r>
    </w:p>
    <w:p w14:paraId="6A4C9299" w14:textId="77777777" w:rsidR="005D07A6" w:rsidRDefault="00F42774">
      <w:pPr>
        <w:pStyle w:val="ET"/>
      </w:pPr>
      <w:r>
        <w:t>Le reste, à parts égales entre les trois ateliers A, B et C.</w:t>
      </w:r>
    </w:p>
    <w:p w14:paraId="16A0E0B6" w14:textId="77777777" w:rsidR="005D07A6" w:rsidRDefault="00F42774">
      <w:pPr>
        <w:pStyle w:val="CT"/>
      </w:pPr>
      <w:r>
        <w:rPr>
          <w:b/>
          <w:bCs/>
        </w:rPr>
        <w:t>Centre Transport :</w:t>
      </w:r>
    </w:p>
    <w:p w14:paraId="34D95386" w14:textId="77777777" w:rsidR="005D07A6" w:rsidRDefault="00F42774">
      <w:pPr>
        <w:pStyle w:val="CT"/>
      </w:pPr>
      <w:r>
        <w:lastRenderedPageBreak/>
        <w:t>Répartition uniquement entre les centres principaux Approvisionnement et Distribution proportionnellement respective aux poids de matières achetées et de produits vendus. Pour le mois de septembre de l’année 2025 :</w:t>
      </w:r>
    </w:p>
    <w:p w14:paraId="1066185F" w14:textId="77777777" w:rsidR="005D07A6" w:rsidRDefault="00F42774">
      <w:pPr>
        <w:pStyle w:val="ET"/>
      </w:pPr>
      <w:r>
        <w:t>Quantités achetées :</w:t>
      </w:r>
    </w:p>
    <w:p w14:paraId="37C19C13" w14:textId="77777777" w:rsidR="005D07A6" w:rsidRDefault="00F42774">
      <w:pPr>
        <w:pStyle w:val="ETS"/>
      </w:pPr>
      <w:r>
        <w:t>16 000 kg de lingots dont 12 000 kg de M1 à 4 € le kg, et 4 000 kg de M2 à 10 € le kg.</w:t>
      </w:r>
    </w:p>
    <w:p w14:paraId="198D5B26" w14:textId="77777777" w:rsidR="005D07A6" w:rsidRDefault="00F42774">
      <w:pPr>
        <w:pStyle w:val="ET"/>
      </w:pPr>
      <w:r>
        <w:t>Quantités produites :</w:t>
      </w:r>
    </w:p>
    <w:p w14:paraId="5EEE76E7" w14:textId="77777777" w:rsidR="005D07A6" w:rsidRDefault="00F42774">
      <w:pPr>
        <w:pStyle w:val="ETS"/>
      </w:pPr>
      <w:r>
        <w:t>1 350 unités dont 900 P1 et 450 P2.</w:t>
      </w:r>
    </w:p>
    <w:p w14:paraId="7D545B4C" w14:textId="77777777" w:rsidR="005D07A6" w:rsidRDefault="00F42774">
      <w:pPr>
        <w:pStyle w:val="ET"/>
      </w:pPr>
      <w:r>
        <w:t>Quantités vendues :</w:t>
      </w:r>
    </w:p>
    <w:p w14:paraId="283F7B94" w14:textId="77777777" w:rsidR="005D07A6" w:rsidRDefault="00F42774">
      <w:pPr>
        <w:pStyle w:val="ETS"/>
      </w:pPr>
      <w:r>
        <w:t>2 000 unités dont 1 200 P1 au prix unitaire de 300 €, 800 P2 au prix unitaire de 700 €.</w:t>
      </w:r>
    </w:p>
    <w:p w14:paraId="2674B81B" w14:textId="77777777" w:rsidR="005D07A6" w:rsidRDefault="00F42774">
      <w:pPr>
        <w:pStyle w:val="CT"/>
      </w:pPr>
      <w:r>
        <w:t>Il n’existe aucun en-cours ni en début, ni en fin de mois.</w:t>
      </w:r>
    </w:p>
    <w:p w14:paraId="66C7A764" w14:textId="77777777" w:rsidR="005D07A6" w:rsidRDefault="00F42774">
      <w:pPr>
        <w:pStyle w:val="CT"/>
      </w:pPr>
      <w:r>
        <w:t>Les unités d’œuvre des centres principaux sont les suivantes :</w:t>
      </w:r>
    </w:p>
    <w:p w14:paraId="146DA164" w14:textId="77777777" w:rsidR="005D07A6" w:rsidRDefault="00F42774">
      <w:pPr>
        <w:pStyle w:val="ET"/>
      </w:pPr>
      <w:r>
        <w:t>Approvisionnement : 1 kg matière première achetée ;</w:t>
      </w:r>
    </w:p>
    <w:p w14:paraId="4CD528AF" w14:textId="77777777" w:rsidR="005D07A6" w:rsidRDefault="00F42774">
      <w:pPr>
        <w:pStyle w:val="ET"/>
      </w:pPr>
      <w:r>
        <w:t>Ateliers A, B, C : 1 kg matière première travaillée ;</w:t>
      </w:r>
    </w:p>
    <w:p w14:paraId="2886939F" w14:textId="77777777" w:rsidR="005D07A6" w:rsidRDefault="00F42774">
      <w:pPr>
        <w:pStyle w:val="ET"/>
      </w:pPr>
      <w:r>
        <w:t>Distribution : nombre de produits vendus.</w:t>
      </w:r>
    </w:p>
    <w:p w14:paraId="4DDA10A1" w14:textId="77777777" w:rsidR="005D07A6" w:rsidRDefault="00F42774">
      <w:pPr>
        <w:pStyle w:val="CT"/>
      </w:pPr>
      <w:r>
        <w:t>Stocks de début de période :</w:t>
      </w:r>
    </w:p>
    <w:p w14:paraId="41BCD079" w14:textId="77777777" w:rsidR="005D07A6" w:rsidRDefault="00F42774">
      <w:pPr>
        <w:pStyle w:val="ET"/>
      </w:pPr>
      <w:r>
        <w:t>M1 : 4 000 kg à 7 € le kg ;</w:t>
      </w:r>
    </w:p>
    <w:p w14:paraId="03967F96" w14:textId="77777777" w:rsidR="005D07A6" w:rsidRDefault="00F42774">
      <w:pPr>
        <w:pStyle w:val="ET"/>
      </w:pPr>
      <w:r>
        <w:t>M2 : 2 000 kg à 14 € le kg ;</w:t>
      </w:r>
    </w:p>
    <w:p w14:paraId="3FA957DD" w14:textId="77777777" w:rsidR="005D07A6" w:rsidRDefault="00F42774">
      <w:pPr>
        <w:pStyle w:val="ET"/>
      </w:pPr>
      <w:r>
        <w:t>P1 : 400 unités avec un coût de fabrication de 280 € ;</w:t>
      </w:r>
    </w:p>
    <w:p w14:paraId="5E9C7FDE" w14:textId="77777777" w:rsidR="005D07A6" w:rsidRDefault="00F42774">
      <w:pPr>
        <w:pStyle w:val="ET"/>
      </w:pPr>
      <w:r>
        <w:t>P2 : 500 unités avec un coût de fabrication de 580 €.</w:t>
      </w:r>
    </w:p>
    <w:p w14:paraId="34E24589" w14:textId="77777777" w:rsidR="005D07A6" w:rsidRDefault="00F42774">
      <w:pPr>
        <w:pStyle w:val="CT"/>
      </w:pPr>
      <w:r>
        <w:t>Les sorties de stock sont valorisées suivant la méthode du coût unitaire moyen pondéré (CUMP).</w:t>
      </w:r>
    </w:p>
    <w:p w14:paraId="67926319" w14:textId="77777777" w:rsidR="005D07A6" w:rsidRDefault="00F42774">
      <w:pPr>
        <w:pStyle w:val="CT"/>
      </w:pPr>
      <w:r>
        <w:t>Inventaire physique des stocks établi en fin de période :</w:t>
      </w:r>
    </w:p>
    <w:p w14:paraId="75F0971C" w14:textId="77777777" w:rsidR="005D07A6" w:rsidRDefault="00F42774">
      <w:pPr>
        <w:pStyle w:val="ET"/>
      </w:pPr>
      <w:r>
        <w:t>M1 : 6 000 kg ;</w:t>
      </w:r>
    </w:p>
    <w:p w14:paraId="29E215FE" w14:textId="77777777" w:rsidR="005D07A6" w:rsidRDefault="00F42774">
      <w:pPr>
        <w:pStyle w:val="ET"/>
      </w:pPr>
      <w:r>
        <w:t>M2 : 1 000 kg ;</w:t>
      </w:r>
    </w:p>
    <w:p w14:paraId="61727ED3" w14:textId="77777777" w:rsidR="005D07A6" w:rsidRDefault="00F42774">
      <w:pPr>
        <w:pStyle w:val="ET"/>
      </w:pPr>
      <w:r>
        <w:t>P1 : 100 unités ;</w:t>
      </w:r>
    </w:p>
    <w:p w14:paraId="00783E6C" w14:textId="77777777" w:rsidR="005D07A6" w:rsidRDefault="00F42774">
      <w:pPr>
        <w:pStyle w:val="ET"/>
      </w:pPr>
      <w:r>
        <w:t>P2 : 150 unités.</w:t>
      </w:r>
    </w:p>
    <w:p w14:paraId="1FFF5994" w14:textId="77777777" w:rsidR="005D07A6" w:rsidRDefault="00F42774">
      <w:pPr>
        <w:pStyle w:val="TexteEnonceQuestion"/>
      </w:pPr>
      <w:r>
        <w:rPr>
          <w:rStyle w:val="NEnonceQuestion"/>
        </w:rPr>
        <w:t>1.</w:t>
      </w:r>
      <w:r>
        <w:t xml:space="preserve"> Quelles quantités en kg de lingots M1 et de lingots M2 faut-il sortir du stock pour la production des culasses P1 et P2 pour le mois de septembre de l’année 2025 ? </w:t>
      </w:r>
      <w:r>
        <w:rPr>
          <w:i/>
          <w:iCs/>
        </w:rPr>
        <w:t>(5 points)</w:t>
      </w:r>
    </w:p>
    <w:p w14:paraId="221C39EB" w14:textId="77777777" w:rsidR="005D07A6" w:rsidRDefault="00F42774">
      <w:pPr>
        <w:pStyle w:val="TexteEnonceQuestion"/>
      </w:pPr>
      <w:r>
        <w:rPr>
          <w:rStyle w:val="NEnonceQuestion"/>
        </w:rPr>
        <w:t>2.</w:t>
      </w:r>
      <w:r>
        <w:t xml:space="preserve"> Établissez le tableau de répartition des charges indirectes et calculez le coût unitaire de chaque unité d’œuvre. </w:t>
      </w:r>
      <w:r>
        <w:rPr>
          <w:i/>
          <w:iCs/>
        </w:rPr>
        <w:t>(10 points)</w:t>
      </w:r>
    </w:p>
    <w:p w14:paraId="2FE69F5C" w14:textId="77777777" w:rsidR="005D07A6" w:rsidRDefault="00F42774">
      <w:pPr>
        <w:pStyle w:val="TexteEnonceQuestion"/>
      </w:pPr>
      <w:r>
        <w:rPr>
          <w:rStyle w:val="NEnonceQuestion"/>
        </w:rPr>
        <w:t>3.</w:t>
      </w:r>
      <w:r>
        <w:t xml:space="preserve"> Calculez les coûts successifs et le résultat de gestion des produits P1 et P2. </w:t>
      </w:r>
      <w:r>
        <w:rPr>
          <w:i/>
          <w:iCs/>
        </w:rPr>
        <w:t>(13 points)</w:t>
      </w:r>
    </w:p>
    <w:p w14:paraId="3D7C6A58" w14:textId="77777777" w:rsidR="005D07A6" w:rsidRDefault="00F42774">
      <w:pPr>
        <w:pStyle w:val="TexteEnonceQuestion"/>
      </w:pPr>
      <w:r>
        <w:rPr>
          <w:rStyle w:val="NEnonceQuestion"/>
        </w:rPr>
        <w:t>4.</w:t>
      </w:r>
      <w:r>
        <w:t xml:space="preserve"> Commentez et analysez le résultat de gestion des produits P1 et P2. Faut-il abandonner des produits en pertes ? </w:t>
      </w:r>
      <w:r>
        <w:rPr>
          <w:i/>
          <w:iCs/>
        </w:rPr>
        <w:t>(4 points)</w:t>
      </w:r>
    </w:p>
    <w:p w14:paraId="690892F6" w14:textId="77777777" w:rsidR="005D07A6" w:rsidRDefault="00F42774">
      <w:pPr>
        <w:pStyle w:val="TexteEnonceQuestion"/>
      </w:pPr>
      <w:r>
        <w:rPr>
          <w:rStyle w:val="NEnonceQuestion"/>
        </w:rPr>
        <w:t>5.</w:t>
      </w:r>
      <w:r>
        <w:t xml:space="preserve"> Présentez le compte de résultat de la comptabilité financière. </w:t>
      </w:r>
      <w:r>
        <w:rPr>
          <w:i/>
          <w:iCs/>
        </w:rPr>
        <w:t>(5 points)</w:t>
      </w:r>
    </w:p>
    <w:p w14:paraId="08FAD990" w14:textId="77777777" w:rsidR="005D07A6" w:rsidRDefault="00F42774">
      <w:pPr>
        <w:pStyle w:val="finfilet"/>
      </w:pPr>
      <w:r>
        <w:t>Fin Enonce</w:t>
      </w:r>
    </w:p>
    <w:p w14:paraId="1A7915E6" w14:textId="77777777" w:rsidR="005D07A6" w:rsidRDefault="00F42774">
      <w:pPr>
        <w:pStyle w:val="finfiletr"/>
      </w:pPr>
      <w:r>
        <w:t>Fin Exercice</w:t>
      </w:r>
    </w:p>
    <w:p w14:paraId="3249CEF4" w14:textId="77777777" w:rsidR="005D07A6" w:rsidRDefault="00F42774">
      <w:pPr>
        <w:pStyle w:val="debutfiletr"/>
      </w:pPr>
      <w:r>
        <w:t>Exercice_n-2</w:t>
      </w:r>
    </w:p>
    <w:p w14:paraId="54953B89" w14:textId="77777777" w:rsidR="005D07A6" w:rsidRDefault="00F42774">
      <w:pPr>
        <w:pStyle w:val="LibelleRubrique"/>
      </w:pPr>
      <w:r>
        <w:t xml:space="preserve">Exercice </w:t>
      </w:r>
    </w:p>
    <w:p w14:paraId="7C19C8E3" w14:textId="77777777" w:rsidR="005D07A6" w:rsidRDefault="00F42774">
      <w:pPr>
        <w:pStyle w:val="TitreRubrique"/>
      </w:pPr>
      <w:r>
        <w:t xml:space="preserve">BBA BOIS (1) </w:t>
      </w:r>
    </w:p>
    <w:p w14:paraId="043CAFAB" w14:textId="77777777" w:rsidR="005D07A6" w:rsidRDefault="00F42774">
      <w:pPr>
        <w:pStyle w:val="NbPoint"/>
      </w:pPr>
      <w:r>
        <w:t>(25 points)</w:t>
      </w:r>
    </w:p>
    <w:p w14:paraId="272BE8B2" w14:textId="77777777" w:rsidR="005D07A6" w:rsidRDefault="00F42774">
      <w:pPr>
        <w:pStyle w:val="debutfilet"/>
      </w:pPr>
      <w:r>
        <w:t>Enonce</w:t>
      </w:r>
    </w:p>
    <w:p w14:paraId="5A8AC9A2" w14:textId="77777777" w:rsidR="005D07A6" w:rsidRDefault="00F42774">
      <w:pPr>
        <w:pStyle w:val="CT"/>
      </w:pPr>
      <w:r>
        <w:t>L’entreprise BBA BOIS fabrique et vend des coffres en bois.</w:t>
      </w:r>
    </w:p>
    <w:p w14:paraId="196624F2" w14:textId="77777777" w:rsidR="005D07A6" w:rsidRDefault="00F42774">
      <w:pPr>
        <w:pStyle w:val="CT"/>
      </w:pPr>
      <w:r>
        <w:t>La production est faite à la commande, il n’y a donc aucun stock.</w:t>
      </w:r>
    </w:p>
    <w:p w14:paraId="7EA40A43" w14:textId="77777777" w:rsidR="005D07A6" w:rsidRDefault="00F42774">
      <w:pPr>
        <w:pStyle w:val="ET"/>
      </w:pPr>
      <w:r>
        <w:t>Les 3 000 coffres produits et vendus en mars nécessitent 9 000 kg de bois (coût d’achat = 15 € le kg).</w:t>
      </w:r>
    </w:p>
    <w:p w14:paraId="762AAEF0" w14:textId="77777777" w:rsidR="005D07A6" w:rsidRDefault="00F42774">
      <w:pPr>
        <w:pStyle w:val="ET"/>
      </w:pPr>
      <w:r>
        <w:t>Les charges directes de production de mars (hors matière première bois) sont de 1 365 000 €.</w:t>
      </w:r>
    </w:p>
    <w:p w14:paraId="5E861E1A" w14:textId="77777777" w:rsidR="005D07A6" w:rsidRDefault="00F42774">
      <w:pPr>
        <w:pStyle w:val="ET"/>
      </w:pPr>
      <w:r>
        <w:t>Les charges indirectes de mars (831 000 €) sont regroupées en six centres (ci-après) :</w:t>
      </w:r>
    </w:p>
    <w:tbl>
      <w:tblPr>
        <w:tblW w:w="7677" w:type="dxa"/>
        <w:tblInd w:w="1701" w:type="dxa"/>
        <w:tblLook w:val="04A0" w:firstRow="1" w:lastRow="0" w:firstColumn="1" w:lastColumn="0" w:noHBand="0" w:noVBand="1"/>
      </w:tblPr>
      <w:tblGrid>
        <w:gridCol w:w="881"/>
        <w:gridCol w:w="711"/>
        <w:gridCol w:w="811"/>
        <w:gridCol w:w="1701"/>
        <w:gridCol w:w="960"/>
        <w:gridCol w:w="1020"/>
        <w:gridCol w:w="1281"/>
        <w:gridCol w:w="811"/>
      </w:tblGrid>
      <w:tr w:rsidR="005D07A6" w14:paraId="7C04F109" w14:textId="77777777">
        <w:tc>
          <w:tcPr>
            <w:tcW w:w="720" w:type="dxa"/>
            <w:vMerge w:val="restart"/>
            <w:tcBorders>
              <w:top w:val="nil"/>
              <w:left w:val="nil"/>
              <w:bottom w:val="single" w:sz="4" w:space="0" w:color="auto"/>
              <w:right w:val="single" w:sz="4" w:space="0" w:color="auto"/>
            </w:tcBorders>
            <w:tcMar>
              <w:top w:w="0" w:type="dxa"/>
              <w:left w:w="2" w:type="dxa"/>
              <w:bottom w:w="0" w:type="dxa"/>
              <w:right w:w="2" w:type="dxa"/>
            </w:tcMar>
            <w:vAlign w:val="bottom"/>
            <w:hideMark/>
          </w:tcPr>
          <w:p w14:paraId="5A3DC175" w14:textId="77777777" w:rsidR="005D07A6" w:rsidRDefault="005D07A6"/>
        </w:tc>
        <w:tc>
          <w:tcPr>
            <w:tcW w:w="720"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E338291" w14:textId="77777777" w:rsidR="005D07A6" w:rsidRDefault="00F42774">
            <w:pPr>
              <w:pStyle w:val="TA1"/>
              <w:jc w:val="center"/>
              <w:rPr>
                <w:rFonts w:eastAsiaTheme="minorEastAsia"/>
              </w:rPr>
            </w:pPr>
            <w:r>
              <w:rPr>
                <w:b/>
                <w:bCs/>
              </w:rPr>
              <w:t>Centres auxiliaires</w:t>
            </w:r>
          </w:p>
        </w:tc>
        <w:tc>
          <w:tcPr>
            <w:tcW w:w="720" w:type="dxa"/>
            <w:gridSpan w:val="4"/>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924BF14" w14:textId="77777777" w:rsidR="005D07A6" w:rsidRDefault="00F42774">
            <w:pPr>
              <w:pStyle w:val="TA1"/>
              <w:jc w:val="center"/>
              <w:rPr>
                <w:rFonts w:eastAsiaTheme="minorEastAsia"/>
              </w:rPr>
            </w:pPr>
            <w:r>
              <w:rPr>
                <w:b/>
                <w:bCs/>
              </w:rPr>
              <w:t>Centres principaux</w:t>
            </w:r>
          </w:p>
        </w:tc>
        <w:tc>
          <w:tcPr>
            <w:tcW w:w="720" w:type="dxa"/>
            <w:tcBorders>
              <w:top w:val="nil"/>
              <w:left w:val="single" w:sz="4" w:space="0" w:color="auto"/>
              <w:bottom w:val="single" w:sz="4" w:space="0" w:color="auto"/>
              <w:right w:val="nil"/>
            </w:tcBorders>
            <w:tcMar>
              <w:top w:w="0" w:type="dxa"/>
              <w:left w:w="2" w:type="dxa"/>
              <w:bottom w:w="0" w:type="dxa"/>
              <w:right w:w="2" w:type="dxa"/>
            </w:tcMar>
            <w:vAlign w:val="bottom"/>
            <w:hideMark/>
          </w:tcPr>
          <w:p w14:paraId="41C34A44" w14:textId="77777777" w:rsidR="005D07A6" w:rsidRDefault="005D07A6"/>
        </w:tc>
      </w:tr>
      <w:tr w:rsidR="005D07A6" w14:paraId="2BD4A2EB" w14:textId="77777777">
        <w:tc>
          <w:tcPr>
            <w:tcW w:w="0" w:type="auto"/>
            <w:vMerge/>
            <w:tcBorders>
              <w:top w:val="nil"/>
              <w:left w:val="nil"/>
              <w:bottom w:val="single" w:sz="4" w:space="0" w:color="auto"/>
              <w:right w:val="single" w:sz="4" w:space="0" w:color="auto"/>
            </w:tcBorders>
            <w:vAlign w:val="center"/>
            <w:hideMark/>
          </w:tcPr>
          <w:p w14:paraId="649FDA68" w14:textId="77777777" w:rsidR="005D07A6" w:rsidRDefault="005D07A6"/>
        </w:tc>
        <w:tc>
          <w:tcPr>
            <w:tcW w:w="7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38AB699" w14:textId="77777777" w:rsidR="005D07A6" w:rsidRDefault="00F42774">
            <w:pPr>
              <w:pStyle w:val="TA1"/>
              <w:jc w:val="center"/>
              <w:rPr>
                <w:rFonts w:eastAsiaTheme="minorEastAsia"/>
              </w:rPr>
            </w:pPr>
            <w:r>
              <w:rPr>
                <w:b/>
                <w:bCs/>
              </w:rPr>
              <w:t>Énergie</w:t>
            </w:r>
          </w:p>
        </w:tc>
        <w:tc>
          <w:tcPr>
            <w:tcW w:w="7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B8BFE39" w14:textId="77777777" w:rsidR="005D07A6" w:rsidRDefault="00F42774">
            <w:pPr>
              <w:pStyle w:val="TA1"/>
              <w:jc w:val="center"/>
              <w:rPr>
                <w:rFonts w:eastAsiaTheme="minorEastAsia"/>
              </w:rPr>
            </w:pPr>
            <w:r>
              <w:rPr>
                <w:b/>
                <w:bCs/>
              </w:rPr>
              <w:t>Entretien</w:t>
            </w:r>
          </w:p>
        </w:tc>
        <w:tc>
          <w:tcPr>
            <w:tcW w:w="7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24A4A71A" w14:textId="77777777" w:rsidR="005D07A6" w:rsidRDefault="00F42774">
            <w:pPr>
              <w:pStyle w:val="TA1"/>
              <w:jc w:val="center"/>
              <w:rPr>
                <w:rFonts w:eastAsiaTheme="minorEastAsia"/>
              </w:rPr>
            </w:pPr>
            <w:r>
              <w:rPr>
                <w:b/>
                <w:bCs/>
              </w:rPr>
              <w:t>Approvisionnement</w:t>
            </w:r>
          </w:p>
        </w:tc>
        <w:tc>
          <w:tcPr>
            <w:tcW w:w="7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BAB547B" w14:textId="77777777" w:rsidR="005D07A6" w:rsidRDefault="00F42774">
            <w:pPr>
              <w:pStyle w:val="TA1"/>
              <w:jc w:val="center"/>
              <w:rPr>
                <w:rFonts w:eastAsiaTheme="minorEastAsia"/>
              </w:rPr>
            </w:pPr>
            <w:r>
              <w:rPr>
                <w:b/>
                <w:bCs/>
              </w:rPr>
              <w:t>Production</w:t>
            </w:r>
          </w:p>
        </w:tc>
        <w:tc>
          <w:tcPr>
            <w:tcW w:w="7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6D4C9D3" w14:textId="77777777" w:rsidR="005D07A6" w:rsidRDefault="00F42774">
            <w:pPr>
              <w:pStyle w:val="TA1"/>
              <w:jc w:val="center"/>
              <w:rPr>
                <w:rFonts w:eastAsiaTheme="minorEastAsia"/>
              </w:rPr>
            </w:pPr>
            <w:r>
              <w:rPr>
                <w:b/>
                <w:bCs/>
              </w:rPr>
              <w:t>Distribution</w:t>
            </w:r>
          </w:p>
        </w:tc>
        <w:tc>
          <w:tcPr>
            <w:tcW w:w="7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C4F8702" w14:textId="77777777" w:rsidR="005D07A6" w:rsidRDefault="00F42774">
            <w:pPr>
              <w:pStyle w:val="TA1"/>
              <w:jc w:val="center"/>
              <w:rPr>
                <w:rFonts w:eastAsiaTheme="minorEastAsia"/>
              </w:rPr>
            </w:pPr>
            <w:r>
              <w:rPr>
                <w:b/>
                <w:bCs/>
              </w:rPr>
              <w:t>Administration</w:t>
            </w:r>
          </w:p>
        </w:tc>
        <w:tc>
          <w:tcPr>
            <w:tcW w:w="7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1FB2C05" w14:textId="77777777" w:rsidR="005D07A6" w:rsidRDefault="00F42774">
            <w:pPr>
              <w:pStyle w:val="TA1"/>
              <w:jc w:val="center"/>
              <w:rPr>
                <w:rFonts w:eastAsiaTheme="minorEastAsia"/>
              </w:rPr>
            </w:pPr>
            <w:r>
              <w:rPr>
                <w:b/>
                <w:bCs/>
              </w:rPr>
              <w:t>Total</w:t>
            </w:r>
          </w:p>
        </w:tc>
      </w:tr>
      <w:tr w:rsidR="005D07A6" w14:paraId="09845BA4" w14:textId="77777777">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77AE8D1" w14:textId="77777777" w:rsidR="005D07A6" w:rsidRDefault="00F42774">
            <w:pPr>
              <w:pStyle w:val="TA1"/>
              <w:rPr>
                <w:rFonts w:eastAsiaTheme="minorEastAsia"/>
              </w:rPr>
            </w:pPr>
            <w:r>
              <w:lastRenderedPageBreak/>
              <w:t>Répartition primaire</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1424C6D" w14:textId="77777777" w:rsidR="005D07A6" w:rsidRDefault="00F42774">
            <w:pPr>
              <w:pStyle w:val="TA1"/>
              <w:jc w:val="right"/>
              <w:rPr>
                <w:rFonts w:eastAsiaTheme="minorEastAsia"/>
              </w:rPr>
            </w:pPr>
            <w:r>
              <w:rPr>
                <w:b/>
                <w:bCs/>
              </w:rPr>
              <w:t>60 000 €</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77ADBC5" w14:textId="77777777" w:rsidR="005D07A6" w:rsidRDefault="00F42774">
            <w:pPr>
              <w:pStyle w:val="TA1"/>
              <w:jc w:val="right"/>
              <w:rPr>
                <w:rFonts w:eastAsiaTheme="minorEastAsia"/>
              </w:rPr>
            </w:pPr>
            <w:r>
              <w:rPr>
                <w:b/>
                <w:bCs/>
              </w:rPr>
              <w:t>141 000 €</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F4DFD2A" w14:textId="77777777" w:rsidR="005D07A6" w:rsidRDefault="00F42774">
            <w:pPr>
              <w:pStyle w:val="TA1"/>
              <w:jc w:val="right"/>
              <w:rPr>
                <w:rFonts w:eastAsiaTheme="minorEastAsia"/>
              </w:rPr>
            </w:pPr>
            <w:r>
              <w:rPr>
                <w:b/>
                <w:bCs/>
              </w:rPr>
              <w:t>150 000 €</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DF623F9" w14:textId="77777777" w:rsidR="005D07A6" w:rsidRDefault="00F42774">
            <w:pPr>
              <w:pStyle w:val="TA1"/>
              <w:jc w:val="right"/>
              <w:rPr>
                <w:rFonts w:eastAsiaTheme="minorEastAsia"/>
              </w:rPr>
            </w:pPr>
            <w:r>
              <w:rPr>
                <w:b/>
                <w:bCs/>
              </w:rPr>
              <w:t>300 000 €</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6CF00FD" w14:textId="77777777" w:rsidR="005D07A6" w:rsidRDefault="00F42774">
            <w:pPr>
              <w:pStyle w:val="TA1"/>
              <w:jc w:val="right"/>
              <w:rPr>
                <w:rFonts w:eastAsiaTheme="minorEastAsia"/>
              </w:rPr>
            </w:pPr>
            <w:r>
              <w:rPr>
                <w:b/>
                <w:bCs/>
              </w:rPr>
              <w:t>90 000 €</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E65DBBA" w14:textId="77777777" w:rsidR="005D07A6" w:rsidRDefault="00F42774">
            <w:pPr>
              <w:pStyle w:val="TA1"/>
              <w:jc w:val="right"/>
              <w:rPr>
                <w:rFonts w:eastAsiaTheme="minorEastAsia"/>
              </w:rPr>
            </w:pPr>
            <w:r>
              <w:rPr>
                <w:b/>
                <w:bCs/>
              </w:rPr>
              <w:t>90 000 €</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4AB450A" w14:textId="77777777" w:rsidR="005D07A6" w:rsidRDefault="00F42774">
            <w:pPr>
              <w:pStyle w:val="TA1"/>
              <w:jc w:val="right"/>
              <w:rPr>
                <w:rFonts w:eastAsiaTheme="minorEastAsia"/>
              </w:rPr>
            </w:pPr>
            <w:r>
              <w:rPr>
                <w:b/>
                <w:bCs/>
              </w:rPr>
              <w:t>831 000 €</w:t>
            </w:r>
          </w:p>
        </w:tc>
      </w:tr>
      <w:tr w:rsidR="005D07A6" w14:paraId="19637BED" w14:textId="77777777">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35BC4F3D" w14:textId="77777777" w:rsidR="005D07A6" w:rsidRDefault="00F42774">
            <w:pPr>
              <w:pStyle w:val="TA1"/>
              <w:rPr>
                <w:rFonts w:eastAsiaTheme="minorEastAsia"/>
              </w:rPr>
            </w:pPr>
            <w:r>
              <w:t>Unité d’œuvre (UO)</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4389488"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9A6CFD0"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F7F576B" w14:textId="77777777" w:rsidR="005D07A6" w:rsidRDefault="00F42774">
            <w:pPr>
              <w:pStyle w:val="TA1"/>
              <w:jc w:val="center"/>
              <w:rPr>
                <w:rFonts w:eastAsiaTheme="minorEastAsia"/>
              </w:rPr>
            </w:pPr>
            <w:r>
              <w:t>kg de bois acheté</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349A38E" w14:textId="77777777" w:rsidR="005D07A6" w:rsidRDefault="00F42774">
            <w:pPr>
              <w:pStyle w:val="TA1"/>
              <w:jc w:val="center"/>
              <w:rPr>
                <w:rFonts w:eastAsiaTheme="minorEastAsia"/>
              </w:rPr>
            </w:pPr>
            <w:r>
              <w:t>Nombre de produits fabriqués</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B141F7B" w14:textId="77777777" w:rsidR="005D07A6" w:rsidRDefault="00F42774">
            <w:pPr>
              <w:pStyle w:val="TA1"/>
              <w:jc w:val="center"/>
              <w:rPr>
                <w:rFonts w:eastAsiaTheme="minorEastAsia"/>
              </w:rPr>
            </w:pPr>
            <w:r>
              <w:t>Nombre de produits vendus</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E088190" w14:textId="77777777" w:rsidR="005D07A6" w:rsidRDefault="00F42774">
            <w:pPr>
              <w:pStyle w:val="TA1"/>
              <w:jc w:val="center"/>
              <w:rPr>
                <w:rFonts w:eastAsiaTheme="minorEastAsia"/>
              </w:rPr>
            </w:pPr>
            <w:r>
              <w:t>Coûts directs</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75F2D8D" w14:textId="77777777" w:rsidR="005D07A6" w:rsidRDefault="005D07A6"/>
        </w:tc>
      </w:tr>
      <w:tr w:rsidR="005D07A6" w14:paraId="3FE686FC" w14:textId="77777777">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1895F6C3" w14:textId="77777777" w:rsidR="005D07A6" w:rsidRDefault="00F42774">
            <w:pPr>
              <w:pStyle w:val="TA1"/>
              <w:rPr>
                <w:rFonts w:eastAsiaTheme="minorEastAsia"/>
              </w:rPr>
            </w:pPr>
            <w:r>
              <w:t>Coût de l’UO</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C284B24"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0D775AD"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4CA4045" w14:textId="77777777" w:rsidR="005D07A6" w:rsidRDefault="00F42774">
            <w:pPr>
              <w:pStyle w:val="TA1"/>
              <w:jc w:val="center"/>
              <w:rPr>
                <w:rFonts w:eastAsiaTheme="minorEastAsia"/>
              </w:rPr>
            </w:pPr>
            <w:r>
              <w:rPr>
                <w:b/>
                <w:bCs/>
              </w:rPr>
              <w:t>21,000 €</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7E106969" w14:textId="77777777" w:rsidR="005D07A6" w:rsidRDefault="00F42774">
            <w:pPr>
              <w:pStyle w:val="TA1"/>
              <w:jc w:val="center"/>
              <w:rPr>
                <w:rFonts w:eastAsiaTheme="minorEastAsia"/>
              </w:rPr>
            </w:pPr>
            <w:r>
              <w:rPr>
                <w:b/>
                <w:bCs/>
              </w:rPr>
              <w:t>128,000 €</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6A8D2E2" w14:textId="77777777" w:rsidR="005D07A6" w:rsidRDefault="00F42774">
            <w:pPr>
              <w:pStyle w:val="TA1"/>
              <w:jc w:val="center"/>
              <w:rPr>
                <w:rFonts w:eastAsiaTheme="minorEastAsia"/>
              </w:rPr>
            </w:pPr>
            <w:r>
              <w:rPr>
                <w:b/>
                <w:bCs/>
              </w:rPr>
              <w:t>43,000 €</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5AF1E1E" w14:textId="77777777" w:rsidR="005D07A6" w:rsidRDefault="00F42774">
            <w:pPr>
              <w:pStyle w:val="TA1"/>
              <w:jc w:val="center"/>
              <w:rPr>
                <w:rFonts w:eastAsiaTheme="minorEastAsia"/>
              </w:rPr>
            </w:pPr>
            <w:r>
              <w:rPr>
                <w:b/>
                <w:bCs/>
              </w:rPr>
              <w:t>0,086 €</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A231B99" w14:textId="77777777" w:rsidR="005D07A6" w:rsidRDefault="005D07A6"/>
        </w:tc>
      </w:tr>
    </w:tbl>
    <w:p w14:paraId="09D5598D" w14:textId="77777777" w:rsidR="005D07A6" w:rsidRDefault="00F42774">
      <w:pPr>
        <w:pStyle w:val="ET"/>
        <w:rPr>
          <w:rFonts w:eastAsiaTheme="minorEastAsia"/>
        </w:rPr>
      </w:pPr>
      <w:r>
        <w:t>Le centre Production consomme 60 % d’énergie (le reste est consommé à parts égales par les autres centres).</w:t>
      </w:r>
    </w:p>
    <w:p w14:paraId="58D92E31" w14:textId="77777777" w:rsidR="005D07A6" w:rsidRDefault="00F42774">
      <w:pPr>
        <w:pStyle w:val="ET"/>
      </w:pPr>
      <w:r>
        <w:t>L’entretien concerne à parts égales tous les centres.</w:t>
      </w:r>
    </w:p>
    <w:p w14:paraId="1ECE01F1" w14:textId="77777777" w:rsidR="005D07A6" w:rsidRDefault="00F42774">
      <w:pPr>
        <w:pStyle w:val="ET"/>
      </w:pPr>
      <w:r>
        <w:t>Les charges d’administration sont à répartir au coût de revient au même titre que le coût direct.</w:t>
      </w:r>
    </w:p>
    <w:p w14:paraId="602D42DB" w14:textId="77777777" w:rsidR="005D07A6" w:rsidRDefault="00F42774">
      <w:pPr>
        <w:pStyle w:val="CT"/>
      </w:pPr>
      <w:r>
        <w:t>Le mois suivant (avril), il n’a été fabriqué et vendu que 2 000 coffres (l’activité normale qui ne concerne que les centres principaux est de 3 000 coffres).</w:t>
      </w:r>
    </w:p>
    <w:p w14:paraId="436AB043" w14:textId="77777777" w:rsidR="005D07A6" w:rsidRDefault="00F42774">
      <w:pPr>
        <w:pStyle w:val="ET"/>
      </w:pPr>
      <w:r>
        <w:t>Les 2 000 coffres produits et vendus en avril ont nécessité 6 000 kg de bois (coût d’achat = 15 € le kg).</w:t>
      </w:r>
    </w:p>
    <w:p w14:paraId="6EF8D8F9" w14:textId="77777777" w:rsidR="005D07A6" w:rsidRDefault="00F42774">
      <w:pPr>
        <w:pStyle w:val="ET"/>
      </w:pPr>
      <w:r>
        <w:t>Les charges directes du mois d’avril de production totales sont de 1 000 000 €.</w:t>
      </w:r>
    </w:p>
    <w:p w14:paraId="5BA8B21B" w14:textId="77777777" w:rsidR="005D07A6" w:rsidRDefault="00F42774">
      <w:pPr>
        <w:pStyle w:val="ET"/>
      </w:pPr>
      <w:r>
        <w:t>Les charges indirectes du mois d’avril (692 500 €) sont regroupées en six centres (ci-après) :</w:t>
      </w:r>
    </w:p>
    <w:tbl>
      <w:tblPr>
        <w:tblW w:w="7677" w:type="dxa"/>
        <w:tblInd w:w="1701" w:type="dxa"/>
        <w:tblLook w:val="04A0" w:firstRow="1" w:lastRow="0" w:firstColumn="1" w:lastColumn="0" w:noHBand="0" w:noVBand="1"/>
      </w:tblPr>
      <w:tblGrid>
        <w:gridCol w:w="881"/>
        <w:gridCol w:w="711"/>
        <w:gridCol w:w="811"/>
        <w:gridCol w:w="1701"/>
        <w:gridCol w:w="960"/>
        <w:gridCol w:w="1020"/>
        <w:gridCol w:w="1281"/>
        <w:gridCol w:w="811"/>
      </w:tblGrid>
      <w:tr w:rsidR="005D07A6" w14:paraId="4169AD24" w14:textId="77777777">
        <w:tc>
          <w:tcPr>
            <w:tcW w:w="720" w:type="dxa"/>
            <w:vMerge w:val="restart"/>
            <w:tcBorders>
              <w:top w:val="nil"/>
              <w:left w:val="nil"/>
              <w:bottom w:val="single" w:sz="4" w:space="0" w:color="auto"/>
              <w:right w:val="single" w:sz="4" w:space="0" w:color="auto"/>
            </w:tcBorders>
            <w:tcMar>
              <w:top w:w="0" w:type="dxa"/>
              <w:left w:w="2" w:type="dxa"/>
              <w:bottom w:w="0" w:type="dxa"/>
              <w:right w:w="2" w:type="dxa"/>
            </w:tcMar>
            <w:vAlign w:val="bottom"/>
            <w:hideMark/>
          </w:tcPr>
          <w:p w14:paraId="71C59424" w14:textId="77777777" w:rsidR="005D07A6" w:rsidRDefault="005D07A6"/>
        </w:tc>
        <w:tc>
          <w:tcPr>
            <w:tcW w:w="720" w:type="dxa"/>
            <w:gridSpan w:val="2"/>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3D11D38" w14:textId="77777777" w:rsidR="005D07A6" w:rsidRDefault="00F42774">
            <w:pPr>
              <w:pStyle w:val="TA1"/>
              <w:jc w:val="center"/>
              <w:rPr>
                <w:rFonts w:eastAsiaTheme="minorEastAsia"/>
              </w:rPr>
            </w:pPr>
            <w:r>
              <w:rPr>
                <w:b/>
                <w:bCs/>
              </w:rPr>
              <w:t>Centres auxiliaires</w:t>
            </w:r>
          </w:p>
        </w:tc>
        <w:tc>
          <w:tcPr>
            <w:tcW w:w="720" w:type="dxa"/>
            <w:gridSpan w:val="4"/>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485AB5CD" w14:textId="77777777" w:rsidR="005D07A6" w:rsidRDefault="00F42774">
            <w:pPr>
              <w:pStyle w:val="TA1"/>
              <w:jc w:val="center"/>
              <w:rPr>
                <w:rFonts w:eastAsiaTheme="minorEastAsia"/>
              </w:rPr>
            </w:pPr>
            <w:r>
              <w:rPr>
                <w:b/>
                <w:bCs/>
              </w:rPr>
              <w:t>Centres principaux</w:t>
            </w:r>
          </w:p>
        </w:tc>
        <w:tc>
          <w:tcPr>
            <w:tcW w:w="720" w:type="dxa"/>
            <w:tcBorders>
              <w:top w:val="nil"/>
              <w:left w:val="single" w:sz="4" w:space="0" w:color="auto"/>
              <w:bottom w:val="single" w:sz="4" w:space="0" w:color="auto"/>
              <w:right w:val="nil"/>
            </w:tcBorders>
            <w:tcMar>
              <w:top w:w="0" w:type="dxa"/>
              <w:left w:w="2" w:type="dxa"/>
              <w:bottom w:w="0" w:type="dxa"/>
              <w:right w:w="2" w:type="dxa"/>
            </w:tcMar>
            <w:vAlign w:val="bottom"/>
            <w:hideMark/>
          </w:tcPr>
          <w:p w14:paraId="5AFD45C0" w14:textId="77777777" w:rsidR="005D07A6" w:rsidRDefault="005D07A6"/>
        </w:tc>
      </w:tr>
      <w:tr w:rsidR="005D07A6" w14:paraId="14D1788A" w14:textId="77777777">
        <w:tc>
          <w:tcPr>
            <w:tcW w:w="0" w:type="auto"/>
            <w:vMerge/>
            <w:tcBorders>
              <w:top w:val="nil"/>
              <w:left w:val="nil"/>
              <w:bottom w:val="single" w:sz="4" w:space="0" w:color="auto"/>
              <w:right w:val="single" w:sz="4" w:space="0" w:color="auto"/>
            </w:tcBorders>
            <w:vAlign w:val="center"/>
            <w:hideMark/>
          </w:tcPr>
          <w:p w14:paraId="0E24287B" w14:textId="77777777" w:rsidR="005D07A6" w:rsidRDefault="005D07A6"/>
        </w:tc>
        <w:tc>
          <w:tcPr>
            <w:tcW w:w="7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1C31A777" w14:textId="77777777" w:rsidR="005D07A6" w:rsidRDefault="00F42774">
            <w:pPr>
              <w:pStyle w:val="TA1"/>
              <w:jc w:val="center"/>
              <w:rPr>
                <w:rFonts w:eastAsiaTheme="minorEastAsia"/>
              </w:rPr>
            </w:pPr>
            <w:r>
              <w:rPr>
                <w:b/>
                <w:bCs/>
              </w:rPr>
              <w:t>Énergie</w:t>
            </w:r>
          </w:p>
        </w:tc>
        <w:tc>
          <w:tcPr>
            <w:tcW w:w="7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37F23D39" w14:textId="77777777" w:rsidR="005D07A6" w:rsidRDefault="00F42774">
            <w:pPr>
              <w:pStyle w:val="TA1"/>
              <w:jc w:val="center"/>
              <w:rPr>
                <w:rFonts w:eastAsiaTheme="minorEastAsia"/>
              </w:rPr>
            </w:pPr>
            <w:r>
              <w:rPr>
                <w:b/>
                <w:bCs/>
              </w:rPr>
              <w:t>Entretien</w:t>
            </w:r>
          </w:p>
        </w:tc>
        <w:tc>
          <w:tcPr>
            <w:tcW w:w="7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3238800" w14:textId="77777777" w:rsidR="005D07A6" w:rsidRDefault="00F42774">
            <w:pPr>
              <w:pStyle w:val="TA1"/>
              <w:jc w:val="center"/>
              <w:rPr>
                <w:rFonts w:eastAsiaTheme="minorEastAsia"/>
              </w:rPr>
            </w:pPr>
            <w:r>
              <w:rPr>
                <w:b/>
                <w:bCs/>
              </w:rPr>
              <w:t>Approvisionnement</w:t>
            </w:r>
          </w:p>
        </w:tc>
        <w:tc>
          <w:tcPr>
            <w:tcW w:w="7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5254F19" w14:textId="77777777" w:rsidR="005D07A6" w:rsidRDefault="00F42774">
            <w:pPr>
              <w:pStyle w:val="TA1"/>
              <w:jc w:val="center"/>
              <w:rPr>
                <w:rFonts w:eastAsiaTheme="minorEastAsia"/>
              </w:rPr>
            </w:pPr>
            <w:r>
              <w:rPr>
                <w:b/>
                <w:bCs/>
              </w:rPr>
              <w:t>Production</w:t>
            </w:r>
          </w:p>
        </w:tc>
        <w:tc>
          <w:tcPr>
            <w:tcW w:w="7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63586FE3" w14:textId="77777777" w:rsidR="005D07A6" w:rsidRDefault="00F42774">
            <w:pPr>
              <w:pStyle w:val="TA1"/>
              <w:jc w:val="center"/>
              <w:rPr>
                <w:rFonts w:eastAsiaTheme="minorEastAsia"/>
              </w:rPr>
            </w:pPr>
            <w:r>
              <w:rPr>
                <w:b/>
                <w:bCs/>
              </w:rPr>
              <w:t>Distribution</w:t>
            </w:r>
          </w:p>
        </w:tc>
        <w:tc>
          <w:tcPr>
            <w:tcW w:w="7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52C93054" w14:textId="77777777" w:rsidR="005D07A6" w:rsidRDefault="00F42774">
            <w:pPr>
              <w:pStyle w:val="TA1"/>
              <w:jc w:val="center"/>
              <w:rPr>
                <w:rFonts w:eastAsiaTheme="minorEastAsia"/>
              </w:rPr>
            </w:pPr>
            <w:r>
              <w:rPr>
                <w:b/>
                <w:bCs/>
              </w:rPr>
              <w:t>Administration</w:t>
            </w:r>
          </w:p>
        </w:tc>
        <w:tc>
          <w:tcPr>
            <w:tcW w:w="720" w:type="dxa"/>
            <w:tcBorders>
              <w:top w:val="single" w:sz="4" w:space="0" w:color="auto"/>
              <w:left w:val="single" w:sz="4" w:space="0" w:color="auto"/>
              <w:bottom w:val="single" w:sz="4" w:space="0" w:color="auto"/>
              <w:right w:val="single" w:sz="4" w:space="0" w:color="auto"/>
            </w:tcBorders>
            <w:shd w:val="clear" w:color="auto" w:fill="92CDDC"/>
            <w:tcMar>
              <w:top w:w="0" w:type="dxa"/>
              <w:left w:w="2" w:type="dxa"/>
              <w:bottom w:w="0" w:type="dxa"/>
              <w:right w:w="2" w:type="dxa"/>
            </w:tcMar>
            <w:vAlign w:val="center"/>
            <w:hideMark/>
          </w:tcPr>
          <w:p w14:paraId="0B4FF0B1" w14:textId="77777777" w:rsidR="005D07A6" w:rsidRDefault="00F42774">
            <w:pPr>
              <w:pStyle w:val="TA1"/>
              <w:jc w:val="center"/>
              <w:rPr>
                <w:rFonts w:eastAsiaTheme="minorEastAsia"/>
              </w:rPr>
            </w:pPr>
            <w:r>
              <w:rPr>
                <w:b/>
                <w:bCs/>
              </w:rPr>
              <w:t>Total</w:t>
            </w:r>
          </w:p>
        </w:tc>
      </w:tr>
      <w:tr w:rsidR="005D07A6" w14:paraId="3F84BF68" w14:textId="77777777">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430A0F7D" w14:textId="77777777" w:rsidR="005D07A6" w:rsidRDefault="00F42774">
            <w:pPr>
              <w:pStyle w:val="TA1"/>
              <w:rPr>
                <w:rFonts w:eastAsiaTheme="minorEastAsia"/>
              </w:rPr>
            </w:pPr>
            <w:r>
              <w:t>Répartition primaire</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vAlign w:val="center"/>
            <w:hideMark/>
          </w:tcPr>
          <w:p w14:paraId="74010194" w14:textId="77777777" w:rsidR="005D07A6" w:rsidRDefault="00F42774">
            <w:pPr>
              <w:pStyle w:val="TA1"/>
              <w:jc w:val="right"/>
              <w:rPr>
                <w:rFonts w:eastAsiaTheme="minorEastAsia"/>
              </w:rPr>
            </w:pPr>
            <w:r>
              <w:rPr>
                <w:b/>
                <w:bCs/>
              </w:rPr>
              <w:t>50 000 €</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vAlign w:val="center"/>
            <w:hideMark/>
          </w:tcPr>
          <w:p w14:paraId="65A67C6E" w14:textId="77777777" w:rsidR="005D07A6" w:rsidRDefault="00F42774">
            <w:pPr>
              <w:pStyle w:val="TA1"/>
              <w:jc w:val="right"/>
              <w:rPr>
                <w:rFonts w:eastAsiaTheme="minorEastAsia"/>
              </w:rPr>
            </w:pPr>
            <w:r>
              <w:rPr>
                <w:b/>
                <w:bCs/>
              </w:rPr>
              <w:t>117 500 €</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vAlign w:val="center"/>
            <w:hideMark/>
          </w:tcPr>
          <w:p w14:paraId="3F0076EE" w14:textId="77777777" w:rsidR="005D07A6" w:rsidRDefault="00F42774">
            <w:pPr>
              <w:pStyle w:val="TA1"/>
              <w:jc w:val="right"/>
              <w:rPr>
                <w:rFonts w:eastAsiaTheme="minorEastAsia"/>
              </w:rPr>
            </w:pPr>
            <w:r>
              <w:rPr>
                <w:b/>
                <w:bCs/>
              </w:rPr>
              <w:t>125 000 €</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vAlign w:val="center"/>
            <w:hideMark/>
          </w:tcPr>
          <w:p w14:paraId="0FDF62AE" w14:textId="77777777" w:rsidR="005D07A6" w:rsidRDefault="00F42774">
            <w:pPr>
              <w:pStyle w:val="TA1"/>
              <w:jc w:val="right"/>
              <w:rPr>
                <w:rFonts w:eastAsiaTheme="minorEastAsia"/>
              </w:rPr>
            </w:pPr>
            <w:r>
              <w:rPr>
                <w:b/>
                <w:bCs/>
              </w:rPr>
              <w:t>250 000 €</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vAlign w:val="center"/>
            <w:hideMark/>
          </w:tcPr>
          <w:p w14:paraId="07D95500" w14:textId="77777777" w:rsidR="005D07A6" w:rsidRDefault="00F42774">
            <w:pPr>
              <w:pStyle w:val="TA1"/>
              <w:jc w:val="right"/>
              <w:rPr>
                <w:rFonts w:eastAsiaTheme="minorEastAsia"/>
              </w:rPr>
            </w:pPr>
            <w:r>
              <w:rPr>
                <w:b/>
                <w:bCs/>
              </w:rPr>
              <w:t>75 000 €</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vAlign w:val="center"/>
            <w:hideMark/>
          </w:tcPr>
          <w:p w14:paraId="379EA5C9" w14:textId="77777777" w:rsidR="005D07A6" w:rsidRDefault="00F42774">
            <w:pPr>
              <w:pStyle w:val="TA1"/>
              <w:jc w:val="right"/>
              <w:rPr>
                <w:rFonts w:eastAsiaTheme="minorEastAsia"/>
              </w:rPr>
            </w:pPr>
            <w:r>
              <w:rPr>
                <w:b/>
                <w:bCs/>
              </w:rPr>
              <w:t>75 000 €</w:t>
            </w:r>
          </w:p>
        </w:tc>
        <w:tc>
          <w:tcPr>
            <w:tcW w:w="720" w:type="dxa"/>
            <w:tcBorders>
              <w:top w:val="single" w:sz="4" w:space="0" w:color="auto"/>
              <w:left w:val="single" w:sz="4" w:space="0" w:color="auto"/>
              <w:bottom w:val="nil"/>
              <w:right w:val="single" w:sz="4" w:space="0" w:color="auto"/>
            </w:tcBorders>
            <w:tcMar>
              <w:top w:w="0" w:type="dxa"/>
              <w:left w:w="2" w:type="dxa"/>
              <w:bottom w:w="0" w:type="dxa"/>
              <w:right w:w="2" w:type="dxa"/>
            </w:tcMar>
            <w:vAlign w:val="center"/>
            <w:hideMark/>
          </w:tcPr>
          <w:p w14:paraId="5C4AE01E" w14:textId="77777777" w:rsidR="005D07A6" w:rsidRDefault="00F42774">
            <w:pPr>
              <w:pStyle w:val="TA1"/>
              <w:jc w:val="right"/>
              <w:rPr>
                <w:rFonts w:eastAsiaTheme="minorEastAsia"/>
              </w:rPr>
            </w:pPr>
            <w:r>
              <w:rPr>
                <w:b/>
                <w:bCs/>
              </w:rPr>
              <w:t>692 500 €</w:t>
            </w:r>
          </w:p>
        </w:tc>
      </w:tr>
      <w:tr w:rsidR="005D07A6" w14:paraId="09E5D747" w14:textId="77777777">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62AFD0D2" w14:textId="77777777" w:rsidR="005D07A6" w:rsidRDefault="00F42774">
            <w:pPr>
              <w:pStyle w:val="TA1"/>
              <w:rPr>
                <w:rFonts w:eastAsiaTheme="minorEastAsia"/>
              </w:rPr>
            </w:pPr>
            <w:r>
              <w:rPr>
                <w:i/>
                <w:iCs/>
              </w:rPr>
              <w:t>Dont charges fixes</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vAlign w:val="center"/>
            <w:hideMark/>
          </w:tcPr>
          <w:p w14:paraId="0DEAF28A" w14:textId="77777777" w:rsidR="005D07A6" w:rsidRDefault="00F42774">
            <w:pPr>
              <w:pStyle w:val="TA1"/>
              <w:jc w:val="right"/>
              <w:rPr>
                <w:rFonts w:eastAsiaTheme="minorEastAsia"/>
              </w:rPr>
            </w:pPr>
            <w:r>
              <w:rPr>
                <w:i/>
                <w:iCs/>
              </w:rPr>
              <w:t>30 000 €</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vAlign w:val="center"/>
            <w:hideMark/>
          </w:tcPr>
          <w:p w14:paraId="09676157" w14:textId="77777777" w:rsidR="005D07A6" w:rsidRDefault="00F42774">
            <w:pPr>
              <w:pStyle w:val="TA1"/>
              <w:jc w:val="right"/>
              <w:rPr>
                <w:rFonts w:eastAsiaTheme="minorEastAsia"/>
              </w:rPr>
            </w:pPr>
            <w:r>
              <w:rPr>
                <w:i/>
                <w:iCs/>
              </w:rPr>
              <w:t>70 500 €</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vAlign w:val="center"/>
            <w:hideMark/>
          </w:tcPr>
          <w:p w14:paraId="5E0E0BD6" w14:textId="77777777" w:rsidR="005D07A6" w:rsidRDefault="00F42774">
            <w:pPr>
              <w:pStyle w:val="TA1"/>
              <w:jc w:val="right"/>
              <w:rPr>
                <w:rFonts w:eastAsiaTheme="minorEastAsia"/>
              </w:rPr>
            </w:pPr>
            <w:r>
              <w:rPr>
                <w:i/>
                <w:iCs/>
              </w:rPr>
              <w:t>75 000 €</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vAlign w:val="center"/>
            <w:hideMark/>
          </w:tcPr>
          <w:p w14:paraId="5BE90AA6" w14:textId="77777777" w:rsidR="005D07A6" w:rsidRDefault="00F42774">
            <w:pPr>
              <w:pStyle w:val="TA1"/>
              <w:jc w:val="right"/>
              <w:rPr>
                <w:rFonts w:eastAsiaTheme="minorEastAsia"/>
              </w:rPr>
            </w:pPr>
            <w:r>
              <w:rPr>
                <w:i/>
                <w:iCs/>
              </w:rPr>
              <w:t>150 000 €</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vAlign w:val="center"/>
            <w:hideMark/>
          </w:tcPr>
          <w:p w14:paraId="164A7074" w14:textId="77777777" w:rsidR="005D07A6" w:rsidRDefault="00F42774">
            <w:pPr>
              <w:pStyle w:val="TA1"/>
              <w:jc w:val="right"/>
              <w:rPr>
                <w:rFonts w:eastAsiaTheme="minorEastAsia"/>
              </w:rPr>
            </w:pPr>
            <w:r>
              <w:rPr>
                <w:i/>
                <w:iCs/>
              </w:rPr>
              <w:t>45 000 €</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vAlign w:val="center"/>
            <w:hideMark/>
          </w:tcPr>
          <w:p w14:paraId="40C8C611" w14:textId="77777777" w:rsidR="005D07A6" w:rsidRDefault="00F42774">
            <w:pPr>
              <w:pStyle w:val="TA1"/>
              <w:jc w:val="right"/>
              <w:rPr>
                <w:rFonts w:eastAsiaTheme="minorEastAsia"/>
              </w:rPr>
            </w:pPr>
            <w:r>
              <w:rPr>
                <w:i/>
                <w:iCs/>
              </w:rPr>
              <w:t>45 000 €</w:t>
            </w:r>
          </w:p>
        </w:tc>
        <w:tc>
          <w:tcPr>
            <w:tcW w:w="720" w:type="dxa"/>
            <w:tcBorders>
              <w:top w:val="nil"/>
              <w:left w:val="single" w:sz="4" w:space="0" w:color="auto"/>
              <w:bottom w:val="single" w:sz="4" w:space="0" w:color="auto"/>
              <w:right w:val="single" w:sz="4" w:space="0" w:color="auto"/>
            </w:tcBorders>
            <w:tcMar>
              <w:top w:w="0" w:type="dxa"/>
              <w:left w:w="2" w:type="dxa"/>
              <w:bottom w:w="0" w:type="dxa"/>
              <w:right w:w="2" w:type="dxa"/>
            </w:tcMar>
            <w:vAlign w:val="center"/>
            <w:hideMark/>
          </w:tcPr>
          <w:p w14:paraId="71634F4B" w14:textId="77777777" w:rsidR="005D07A6" w:rsidRDefault="00F42774">
            <w:pPr>
              <w:pStyle w:val="TA1"/>
              <w:jc w:val="right"/>
              <w:rPr>
                <w:rFonts w:eastAsiaTheme="minorEastAsia"/>
              </w:rPr>
            </w:pPr>
            <w:r>
              <w:rPr>
                <w:i/>
                <w:iCs/>
              </w:rPr>
              <w:t>415 500 €</w:t>
            </w:r>
          </w:p>
        </w:tc>
      </w:tr>
      <w:tr w:rsidR="005D07A6" w14:paraId="583A8AE3" w14:textId="77777777">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18068FA" w14:textId="77777777" w:rsidR="005D07A6" w:rsidRDefault="00F42774">
            <w:pPr>
              <w:pStyle w:val="TA1"/>
              <w:rPr>
                <w:rFonts w:eastAsiaTheme="minorEastAsia"/>
              </w:rPr>
            </w:pPr>
            <w:r>
              <w:t>Unité d’œuvre (UO)</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64822C6"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86AEB9B"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18DD85CF" w14:textId="77777777" w:rsidR="005D07A6" w:rsidRDefault="00F42774">
            <w:pPr>
              <w:pStyle w:val="TA1"/>
              <w:jc w:val="center"/>
              <w:rPr>
                <w:rFonts w:eastAsiaTheme="minorEastAsia"/>
              </w:rPr>
            </w:pPr>
            <w:r>
              <w:t>kg de bois acheté</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5630A47" w14:textId="77777777" w:rsidR="005D07A6" w:rsidRDefault="00F42774">
            <w:pPr>
              <w:pStyle w:val="TA1"/>
              <w:jc w:val="center"/>
              <w:rPr>
                <w:rFonts w:eastAsiaTheme="minorEastAsia"/>
              </w:rPr>
            </w:pPr>
            <w:r>
              <w:t>Nombre de produits fabriqués</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38E027C" w14:textId="77777777" w:rsidR="005D07A6" w:rsidRDefault="00F42774">
            <w:pPr>
              <w:pStyle w:val="TA1"/>
              <w:jc w:val="center"/>
              <w:rPr>
                <w:rFonts w:eastAsiaTheme="minorEastAsia"/>
              </w:rPr>
            </w:pPr>
            <w:r>
              <w:t>Nombre de produits vendus</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3A022DD5" w14:textId="77777777" w:rsidR="005D07A6" w:rsidRDefault="00F42774">
            <w:pPr>
              <w:pStyle w:val="TA1"/>
              <w:jc w:val="center"/>
              <w:rPr>
                <w:rFonts w:eastAsiaTheme="minorEastAsia"/>
              </w:rPr>
            </w:pPr>
            <w:r>
              <w:t>Coûts directs</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00A5159B" w14:textId="77777777" w:rsidR="005D07A6" w:rsidRDefault="005D07A6"/>
        </w:tc>
      </w:tr>
      <w:tr w:rsidR="005D07A6" w14:paraId="15993556" w14:textId="77777777">
        <w:tc>
          <w:tcPr>
            <w:tcW w:w="720" w:type="dxa"/>
            <w:tcBorders>
              <w:top w:val="single" w:sz="4" w:space="0" w:color="auto"/>
              <w:left w:val="single" w:sz="4" w:space="0" w:color="auto"/>
              <w:bottom w:val="single" w:sz="4" w:space="0" w:color="auto"/>
              <w:right w:val="single" w:sz="4" w:space="0" w:color="auto"/>
            </w:tcBorders>
            <w:shd w:val="clear" w:color="auto" w:fill="DAEEF3"/>
            <w:tcMar>
              <w:top w:w="0" w:type="dxa"/>
              <w:left w:w="2" w:type="dxa"/>
              <w:bottom w:w="0" w:type="dxa"/>
              <w:right w:w="2" w:type="dxa"/>
            </w:tcMar>
            <w:hideMark/>
          </w:tcPr>
          <w:p w14:paraId="58EF0D6B" w14:textId="77777777" w:rsidR="005D07A6" w:rsidRDefault="00F42774">
            <w:pPr>
              <w:pStyle w:val="TA1"/>
              <w:rPr>
                <w:rFonts w:eastAsiaTheme="minorEastAsia"/>
              </w:rPr>
            </w:pPr>
            <w:r>
              <w:t>Coût de l’UO</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5E296D6"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0C18F32" w14:textId="77777777" w:rsidR="005D07A6" w:rsidRDefault="005D07A6"/>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5C9F49E1" w14:textId="77777777" w:rsidR="005D07A6" w:rsidRDefault="00F42774">
            <w:pPr>
              <w:pStyle w:val="TA1"/>
              <w:jc w:val="center"/>
              <w:rPr>
                <w:rFonts w:eastAsiaTheme="minorEastAsia"/>
              </w:rPr>
            </w:pPr>
            <w:r>
              <w:rPr>
                <w:b/>
                <w:bCs/>
              </w:rPr>
              <w:t>26,250 €</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5E218F9" w14:textId="77777777" w:rsidR="005D07A6" w:rsidRDefault="00F42774">
            <w:pPr>
              <w:pStyle w:val="TA1"/>
              <w:jc w:val="center"/>
              <w:rPr>
                <w:rFonts w:eastAsiaTheme="minorEastAsia"/>
              </w:rPr>
            </w:pPr>
            <w:r>
              <w:rPr>
                <w:b/>
                <w:bCs/>
              </w:rPr>
              <w:t>160,000 €</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2DE4F94D" w14:textId="77777777" w:rsidR="005D07A6" w:rsidRDefault="00F42774">
            <w:pPr>
              <w:pStyle w:val="TA1"/>
              <w:jc w:val="center"/>
              <w:rPr>
                <w:rFonts w:eastAsiaTheme="minorEastAsia"/>
              </w:rPr>
            </w:pPr>
            <w:r>
              <w:rPr>
                <w:b/>
                <w:bCs/>
              </w:rPr>
              <w:t>53,750 €</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443CC794" w14:textId="77777777" w:rsidR="005D07A6" w:rsidRDefault="00F42774">
            <w:pPr>
              <w:pStyle w:val="TA1"/>
              <w:jc w:val="center"/>
              <w:rPr>
                <w:rFonts w:eastAsiaTheme="minorEastAsia"/>
              </w:rPr>
            </w:pPr>
            <w:r>
              <w:rPr>
                <w:b/>
                <w:bCs/>
              </w:rPr>
              <w:t>0,107 €</w:t>
            </w:r>
          </w:p>
        </w:tc>
        <w:tc>
          <w:tcPr>
            <w:tcW w:w="720" w:type="dxa"/>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vAlign w:val="center"/>
            <w:hideMark/>
          </w:tcPr>
          <w:p w14:paraId="6AC152FA" w14:textId="77777777" w:rsidR="005D07A6" w:rsidRDefault="005D07A6"/>
        </w:tc>
      </w:tr>
    </w:tbl>
    <w:p w14:paraId="319FE907" w14:textId="77777777" w:rsidR="005D07A6" w:rsidRDefault="00F42774">
      <w:pPr>
        <w:pStyle w:val="TexteEnonceQuestion"/>
        <w:rPr>
          <w:rFonts w:eastAsiaTheme="minorEastAsia"/>
        </w:rPr>
      </w:pPr>
      <w:r>
        <w:rPr>
          <w:rStyle w:val="NEnonceQuestion"/>
        </w:rPr>
        <w:t>1.</w:t>
      </w:r>
      <w:r>
        <w:t xml:space="preserve"> Comparez les coûts des unités d’œuvre du mois de mars avec ceux du mois d’avril. Commentez. </w:t>
      </w:r>
      <w:r>
        <w:rPr>
          <w:i/>
          <w:iCs/>
        </w:rPr>
        <w:t>(5 points)</w:t>
      </w:r>
    </w:p>
    <w:p w14:paraId="5EBB81A4" w14:textId="77777777" w:rsidR="005D07A6" w:rsidRDefault="00F42774">
      <w:pPr>
        <w:pStyle w:val="TexteEnonceQuestion"/>
      </w:pPr>
      <w:r>
        <w:rPr>
          <w:rStyle w:val="NEnonceQuestion"/>
        </w:rPr>
        <w:t>2.</w:t>
      </w:r>
      <w:r>
        <w:t xml:space="preserve"> Calculez les coûts unitaires des unités d’œuvre du mois d’avril en appliquant l’imputation rationnelle des charges fixes (IRCF). </w:t>
      </w:r>
      <w:r>
        <w:rPr>
          <w:i/>
          <w:iCs/>
        </w:rPr>
        <w:t>(15 points)</w:t>
      </w:r>
    </w:p>
    <w:p w14:paraId="5A695116" w14:textId="77777777" w:rsidR="005D07A6" w:rsidRDefault="00F42774">
      <w:pPr>
        <w:pStyle w:val="TexteEnonceQuestion"/>
      </w:pPr>
      <w:r>
        <w:rPr>
          <w:rStyle w:val="NEnonceQuestion"/>
        </w:rPr>
        <w:t>3.</w:t>
      </w:r>
      <w:r>
        <w:t xml:space="preserve"> Comparez les coûts des unités d’œuvre du mois de mars avec ceux d’avril calculés avec l’IRCF. Commentez. </w:t>
      </w:r>
      <w:r>
        <w:rPr>
          <w:i/>
          <w:iCs/>
        </w:rPr>
        <w:t>(5 points)</w:t>
      </w:r>
    </w:p>
    <w:p w14:paraId="15589109" w14:textId="77777777" w:rsidR="005D07A6" w:rsidRDefault="00F42774">
      <w:pPr>
        <w:pStyle w:val="finfilet"/>
      </w:pPr>
      <w:r>
        <w:t>Fin Enonce</w:t>
      </w:r>
    </w:p>
    <w:p w14:paraId="01C0CA29" w14:textId="77777777" w:rsidR="005D07A6" w:rsidRDefault="00F42774">
      <w:pPr>
        <w:pStyle w:val="finfiletr"/>
      </w:pPr>
      <w:r>
        <w:t>Fin Exercice</w:t>
      </w:r>
    </w:p>
    <w:p w14:paraId="5C1829BC" w14:textId="77777777" w:rsidR="005D07A6" w:rsidRDefault="00F42774">
      <w:pPr>
        <w:pStyle w:val="debutfiletr"/>
      </w:pPr>
      <w:r>
        <w:t>Exercice_n-3</w:t>
      </w:r>
    </w:p>
    <w:p w14:paraId="2605FCE6" w14:textId="77777777" w:rsidR="005D07A6" w:rsidRDefault="00F42774">
      <w:pPr>
        <w:pStyle w:val="LibelleRubrique"/>
      </w:pPr>
      <w:r>
        <w:t xml:space="preserve">Exercice </w:t>
      </w:r>
    </w:p>
    <w:p w14:paraId="4EC3C7BD" w14:textId="77777777" w:rsidR="005D07A6" w:rsidRDefault="00F42774">
      <w:pPr>
        <w:pStyle w:val="TitreRubrique"/>
      </w:pPr>
      <w:r>
        <w:t xml:space="preserve">BBA BOIS (2) </w:t>
      </w:r>
    </w:p>
    <w:p w14:paraId="47D282BD" w14:textId="77777777" w:rsidR="005D07A6" w:rsidRDefault="00F42774">
      <w:pPr>
        <w:pStyle w:val="NbPoint"/>
      </w:pPr>
      <w:r>
        <w:t>(14 points)</w:t>
      </w:r>
    </w:p>
    <w:p w14:paraId="71EE67C5" w14:textId="77777777" w:rsidR="005D07A6" w:rsidRDefault="00F42774">
      <w:pPr>
        <w:pStyle w:val="debutfilet"/>
      </w:pPr>
      <w:r>
        <w:t>Enonce</w:t>
      </w:r>
    </w:p>
    <w:p w14:paraId="620FEBF9" w14:textId="77777777" w:rsidR="005D07A6" w:rsidRDefault="00F42774">
      <w:pPr>
        <w:pStyle w:val="CT"/>
      </w:pPr>
      <w:r>
        <w:t>L’entreprise BBA BOIS fabrique et vend des coffres en bois.</w:t>
      </w:r>
    </w:p>
    <w:p w14:paraId="17DC8F98" w14:textId="77777777" w:rsidR="005D07A6" w:rsidRDefault="00F42774">
      <w:pPr>
        <w:pStyle w:val="CT"/>
      </w:pPr>
      <w:r>
        <w:t>La production est faite à la commande, il n’y a donc aucun stock.</w:t>
      </w:r>
    </w:p>
    <w:p w14:paraId="037D6F6C" w14:textId="77777777" w:rsidR="005D07A6" w:rsidRDefault="00F42774">
      <w:pPr>
        <w:pStyle w:val="CT"/>
      </w:pPr>
      <w:r>
        <w:t>Nous disposons des informations suivantes pour le mois de juin :</w:t>
      </w:r>
    </w:p>
    <w:p w14:paraId="7E28345C" w14:textId="77777777" w:rsidR="005D07A6" w:rsidRDefault="00F42774">
      <w:pPr>
        <w:pStyle w:val="ET"/>
      </w:pPr>
      <w:r>
        <w:t>la fabrication d’un coffre standard a nécessité 3 kg de bois et 2 heures de main-d’œuvre ;</w:t>
      </w:r>
    </w:p>
    <w:p w14:paraId="676D9B1D" w14:textId="77777777" w:rsidR="005D07A6" w:rsidRDefault="00F42774">
      <w:pPr>
        <w:pStyle w:val="ET"/>
      </w:pPr>
      <w:r>
        <w:t>la fabrication d’un coffre de luxe a nécessité 6 kg de bois et 4 heures de main-d’œuvre ;</w:t>
      </w:r>
    </w:p>
    <w:p w14:paraId="72E4A4BD" w14:textId="77777777" w:rsidR="005D07A6" w:rsidRDefault="00F42774">
      <w:pPr>
        <w:pStyle w:val="ET"/>
      </w:pPr>
      <w:r>
        <w:t>coût de la livraison du bois : forfait de 12 000 € quelle que soit la quantité achetée ;</w:t>
      </w:r>
    </w:p>
    <w:p w14:paraId="4890D481" w14:textId="77777777" w:rsidR="005D07A6" w:rsidRDefault="00F42774">
      <w:pPr>
        <w:pStyle w:val="ET"/>
      </w:pPr>
      <w:r>
        <w:t>coût d’achat du bois : 120 000 € ;</w:t>
      </w:r>
    </w:p>
    <w:p w14:paraId="77353DCA" w14:textId="77777777" w:rsidR="005D07A6" w:rsidRDefault="00F42774">
      <w:pPr>
        <w:pStyle w:val="ET"/>
      </w:pPr>
      <w:r>
        <w:t>coût total de main-d’œuvre directe : 150 000 € ;</w:t>
      </w:r>
    </w:p>
    <w:p w14:paraId="509061EC" w14:textId="77777777" w:rsidR="005D07A6" w:rsidRDefault="00F42774">
      <w:pPr>
        <w:pStyle w:val="ET"/>
      </w:pPr>
      <w:r>
        <w:lastRenderedPageBreak/>
        <w:t>les autres charges et les frais généraux qui varient et dont le lien entre l’objet de coût et la consommation n’est pas évident sont de 150 000 € ;</w:t>
      </w:r>
    </w:p>
    <w:p w14:paraId="4E09782B" w14:textId="77777777" w:rsidR="005D07A6" w:rsidRDefault="00F42774">
      <w:pPr>
        <w:pStyle w:val="ET"/>
      </w:pPr>
      <w:r>
        <w:t>l’amortissement des équipements et matériels (bureautique, machines-outils, véhicules…) est de 252 000 € par an ;</w:t>
      </w:r>
    </w:p>
    <w:p w14:paraId="5C53F6DD" w14:textId="77777777" w:rsidR="005D07A6" w:rsidRDefault="00F42774">
      <w:pPr>
        <w:pStyle w:val="ET"/>
      </w:pPr>
      <w:r>
        <w:t>la location des locaux est de 72 000 € par an ;</w:t>
      </w:r>
    </w:p>
    <w:p w14:paraId="1C32760C" w14:textId="77777777" w:rsidR="005D07A6" w:rsidRDefault="00F42774">
      <w:pPr>
        <w:pStyle w:val="ET"/>
      </w:pPr>
      <w:r>
        <w:t>la rémunération fixe des salariés non affectés à la production (direction, RH, comptabilité…) est de 15 000 € par mois ;</w:t>
      </w:r>
    </w:p>
    <w:p w14:paraId="56E76434" w14:textId="77777777" w:rsidR="005D07A6" w:rsidRDefault="00F42774">
      <w:pPr>
        <w:pStyle w:val="ET"/>
      </w:pPr>
      <w:r>
        <w:t>les charges fixes, les autres charges de structure et les frais généraux sont répartis au tiers sur les coffres standards et le reste sur les coffres de luxe ;</w:t>
      </w:r>
    </w:p>
    <w:p w14:paraId="05FC016D" w14:textId="77777777" w:rsidR="005D07A6" w:rsidRDefault="00F42774">
      <w:pPr>
        <w:pStyle w:val="ET"/>
      </w:pPr>
      <w:r>
        <w:t>le directeur touche une commission de 1 % sur les ventes du mois précédent ;</w:t>
      </w:r>
    </w:p>
    <w:p w14:paraId="2FCF609B" w14:textId="77777777" w:rsidR="005D07A6" w:rsidRDefault="00F42774">
      <w:pPr>
        <w:pStyle w:val="ET"/>
      </w:pPr>
      <w:r>
        <w:t>le prix de vente HT d’un coffre standard est de 100 € ;</w:t>
      </w:r>
    </w:p>
    <w:p w14:paraId="41B9E204" w14:textId="77777777" w:rsidR="005D07A6" w:rsidRDefault="00F42774">
      <w:pPr>
        <w:pStyle w:val="ET"/>
      </w:pPr>
      <w:r>
        <w:t>le prix de vente HT d’un coffre de luxe est de 250 €.</w:t>
      </w:r>
    </w:p>
    <w:p w14:paraId="132086C7" w14:textId="77777777" w:rsidR="005D07A6" w:rsidRDefault="00F42774">
      <w:pPr>
        <w:pStyle w:val="CT"/>
      </w:pPr>
      <w:r>
        <w:t>Le CA du mois de mai s’est établi à 210 000 €.</w:t>
      </w:r>
    </w:p>
    <w:p w14:paraId="61DF332B" w14:textId="77777777" w:rsidR="005D07A6" w:rsidRDefault="00F42774">
      <w:pPr>
        <w:pStyle w:val="TexteEnonceQuestion"/>
      </w:pPr>
      <w:r>
        <w:rPr>
          <w:rStyle w:val="NEnonceQuestion"/>
        </w:rPr>
        <w:t>1.</w:t>
      </w:r>
      <w:r>
        <w:t xml:space="preserve"> Répartissez les différentes charges de l’entreprise selon la « variabilité des charges ». </w:t>
      </w:r>
      <w:r>
        <w:rPr>
          <w:i/>
          <w:iCs/>
        </w:rPr>
        <w:t>(5 points)</w:t>
      </w:r>
    </w:p>
    <w:p w14:paraId="4ABADF46" w14:textId="77777777" w:rsidR="005D07A6" w:rsidRDefault="00F42774">
      <w:pPr>
        <w:pStyle w:val="TexteEnonceQuestion"/>
      </w:pPr>
      <w:r>
        <w:rPr>
          <w:rStyle w:val="NEnonceQuestion"/>
        </w:rPr>
        <w:t>2.</w:t>
      </w:r>
      <w:r>
        <w:t xml:space="preserve"> Répartissez les différentes charges de l’entreprise selon la « destination des charges » en vous assurant que le total des charges réparties selon la destination des charges soit égal au total des charges réparties selon leur variabilité (calculé à la question précédente). </w:t>
      </w:r>
      <w:r>
        <w:rPr>
          <w:i/>
          <w:iCs/>
        </w:rPr>
        <w:t>(5 points)</w:t>
      </w:r>
    </w:p>
    <w:p w14:paraId="7E14546C" w14:textId="77777777" w:rsidR="005D07A6" w:rsidRDefault="00F42774">
      <w:pPr>
        <w:pStyle w:val="TexteEnonceQuestion"/>
      </w:pPr>
      <w:r>
        <w:rPr>
          <w:rStyle w:val="NEnonceQuestion"/>
        </w:rPr>
        <w:t>3.</w:t>
      </w:r>
      <w:r>
        <w:t xml:space="preserve"> Est-il possible de calculer le coût de revient unitaire et le résultat unitaire des coffres standards et des coffres de luxe ? Si oui, calculez-les. Sinon, précisez les informations manquantes pour pouvoir les calculer. </w:t>
      </w:r>
      <w:r>
        <w:rPr>
          <w:i/>
          <w:iCs/>
        </w:rPr>
        <w:t>(4 points)</w:t>
      </w:r>
    </w:p>
    <w:p w14:paraId="6CF7A4D3" w14:textId="77777777" w:rsidR="005D07A6" w:rsidRDefault="00F42774">
      <w:pPr>
        <w:pStyle w:val="finfilet"/>
      </w:pPr>
      <w:r>
        <w:t>Fin Enonce</w:t>
      </w:r>
    </w:p>
    <w:p w14:paraId="737B1A93" w14:textId="77777777" w:rsidR="005D07A6" w:rsidRDefault="00F42774">
      <w:pPr>
        <w:pStyle w:val="finfiletr"/>
      </w:pPr>
      <w:r>
        <w:t>Fin Exercice</w:t>
      </w:r>
    </w:p>
    <w:sectPr w:rsidR="005D07A6">
      <w:footerReference w:type="default" r:id="rId44"/>
      <w:pgSz w:w="11906" w:h="16838"/>
      <w:pgMar w:top="1701" w:right="1134" w:bottom="155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4EBF9" w14:textId="77777777" w:rsidR="005D07A6" w:rsidRDefault="00F42774">
      <w:r>
        <w:separator/>
      </w:r>
    </w:p>
  </w:endnote>
  <w:endnote w:type="continuationSeparator" w:id="0">
    <w:p w14:paraId="381744D5" w14:textId="77777777" w:rsidR="005D07A6" w:rsidRDefault="00F42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w:altName w:val="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53761" w14:textId="77777777" w:rsidR="005D07A6" w:rsidRDefault="00F42774">
    <w:pPr>
      <w:pStyle w:val="Pieddepage"/>
    </w:pPr>
    <w:r>
      <w:tab/>
    </w:r>
    <w:r>
      <w:fldChar w:fldCharType="begin"/>
    </w:r>
    <w:r>
      <w:instrText>PAGE   \* MERGEFORMAT</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A5191" w14:textId="77777777" w:rsidR="005D07A6" w:rsidRDefault="00F42774">
      <w:r>
        <w:separator/>
      </w:r>
    </w:p>
  </w:footnote>
  <w:footnote w:type="continuationSeparator" w:id="0">
    <w:p w14:paraId="4947D874" w14:textId="77777777" w:rsidR="005D07A6" w:rsidRDefault="00F427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B0BE9E"/>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F3E8BBB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F146B6D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4E78A4C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9F2AB2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00A2C"/>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5ADFF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1A024D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176410C"/>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BE3CA816"/>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5E22A1"/>
    <w:multiLevelType w:val="hybridMultilevel"/>
    <w:tmpl w:val="67800CD4"/>
    <w:lvl w:ilvl="0" w:tplc="0C882E20">
      <w:start w:val="1"/>
      <w:numFmt w:val="bullet"/>
      <w:pStyle w:val="Tab-SEP"/>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1" w15:restartNumberingAfterBreak="0">
    <w:nsid w:val="018E5274"/>
    <w:multiLevelType w:val="hybridMultilevel"/>
    <w:tmpl w:val="24508D78"/>
    <w:lvl w:ilvl="0" w:tplc="1ACA1970">
      <w:start w:val="1"/>
      <w:numFmt w:val="decimal"/>
      <w:lvlText w:val="%1."/>
      <w:lvlJc w:val="left"/>
      <w:pPr>
        <w:ind w:left="2061" w:hanging="360"/>
      </w:pPr>
      <w:rPr>
        <w:rFonts w:hint="default"/>
      </w:rPr>
    </w:lvl>
    <w:lvl w:ilvl="1" w:tplc="040C0019" w:tentative="1">
      <w:start w:val="1"/>
      <w:numFmt w:val="lowerLetter"/>
      <w:lvlText w:val="%2."/>
      <w:lvlJc w:val="left"/>
      <w:pPr>
        <w:ind w:left="2781" w:hanging="360"/>
      </w:pPr>
    </w:lvl>
    <w:lvl w:ilvl="2" w:tplc="040C001B" w:tentative="1">
      <w:start w:val="1"/>
      <w:numFmt w:val="lowerRoman"/>
      <w:lvlText w:val="%3."/>
      <w:lvlJc w:val="right"/>
      <w:pPr>
        <w:ind w:left="3501" w:hanging="180"/>
      </w:pPr>
    </w:lvl>
    <w:lvl w:ilvl="3" w:tplc="040C000F" w:tentative="1">
      <w:start w:val="1"/>
      <w:numFmt w:val="decimal"/>
      <w:lvlText w:val="%4."/>
      <w:lvlJc w:val="left"/>
      <w:pPr>
        <w:ind w:left="4221" w:hanging="360"/>
      </w:pPr>
    </w:lvl>
    <w:lvl w:ilvl="4" w:tplc="040C0019" w:tentative="1">
      <w:start w:val="1"/>
      <w:numFmt w:val="lowerLetter"/>
      <w:lvlText w:val="%5."/>
      <w:lvlJc w:val="left"/>
      <w:pPr>
        <w:ind w:left="4941" w:hanging="360"/>
      </w:pPr>
    </w:lvl>
    <w:lvl w:ilvl="5" w:tplc="040C001B" w:tentative="1">
      <w:start w:val="1"/>
      <w:numFmt w:val="lowerRoman"/>
      <w:lvlText w:val="%6."/>
      <w:lvlJc w:val="right"/>
      <w:pPr>
        <w:ind w:left="5661" w:hanging="180"/>
      </w:pPr>
    </w:lvl>
    <w:lvl w:ilvl="6" w:tplc="040C000F" w:tentative="1">
      <w:start w:val="1"/>
      <w:numFmt w:val="decimal"/>
      <w:lvlText w:val="%7."/>
      <w:lvlJc w:val="left"/>
      <w:pPr>
        <w:ind w:left="6381" w:hanging="360"/>
      </w:pPr>
    </w:lvl>
    <w:lvl w:ilvl="7" w:tplc="040C0019" w:tentative="1">
      <w:start w:val="1"/>
      <w:numFmt w:val="lowerLetter"/>
      <w:lvlText w:val="%8."/>
      <w:lvlJc w:val="left"/>
      <w:pPr>
        <w:ind w:left="7101" w:hanging="360"/>
      </w:pPr>
    </w:lvl>
    <w:lvl w:ilvl="8" w:tplc="040C001B" w:tentative="1">
      <w:start w:val="1"/>
      <w:numFmt w:val="lowerRoman"/>
      <w:lvlText w:val="%9."/>
      <w:lvlJc w:val="right"/>
      <w:pPr>
        <w:ind w:left="7821" w:hanging="180"/>
      </w:pPr>
    </w:lvl>
  </w:abstractNum>
  <w:abstractNum w:abstractNumId="12" w15:restartNumberingAfterBreak="0">
    <w:nsid w:val="0DFC235D"/>
    <w:multiLevelType w:val="multilevel"/>
    <w:tmpl w:val="0F381EE2"/>
    <w:lvl w:ilvl="0">
      <w:start w:val="1"/>
      <w:numFmt w:val="none"/>
      <w:pStyle w:val="UE-Code"/>
      <w:suff w:val="nothing"/>
      <w:lvlText w:val="%1Code Intec : "/>
      <w:lvlJc w:val="left"/>
      <w:pPr>
        <w:ind w:left="432" w:hanging="432"/>
      </w:pPr>
      <w:rPr>
        <w:rFonts w:hint="default"/>
      </w:rPr>
    </w:lvl>
    <w:lvl w:ilvl="1">
      <w:start w:val="1"/>
      <w:numFmt w:val="none"/>
      <w:pStyle w:val="UE-CodeCNED"/>
      <w:suff w:val="nothing"/>
      <w:lvlText w:val="%1Code CNED : "/>
      <w:lvlJc w:val="left"/>
      <w:pPr>
        <w:ind w:left="576" w:hanging="576"/>
      </w:pPr>
      <w:rPr>
        <w:rFonts w:hint="default"/>
      </w:rPr>
    </w:lvl>
    <w:lvl w:ilvl="2">
      <w:start w:val="1"/>
      <w:numFmt w:val="none"/>
      <w:pStyle w:val="UE-Code2"/>
      <w:suff w:val="nothing"/>
      <w:lvlText w:val="%1Code Intec 2 : "/>
      <w:lvlJc w:val="left"/>
      <w:pPr>
        <w:ind w:left="720" w:hanging="720"/>
      </w:pPr>
      <w:rPr>
        <w:rFonts w:hint="default"/>
      </w:rPr>
    </w:lvl>
    <w:lvl w:ilvl="3">
      <w:start w:val="1"/>
      <w:numFmt w:val="none"/>
      <w:pStyle w:val="UE-CodeCNED2"/>
      <w:suff w:val="nothing"/>
      <w:lvlText w:val="Code CNED 2 : "/>
      <w:lvlJc w:val="left"/>
      <w:pPr>
        <w:ind w:left="864" w:hanging="864"/>
      </w:pPr>
      <w:rPr>
        <w:rFonts w:hint="default"/>
      </w:rPr>
    </w:lvl>
    <w:lvl w:ilvl="4">
      <w:start w:val="1"/>
      <w:numFmt w:val="none"/>
      <w:pStyle w:val="UE-Annee"/>
      <w:suff w:val="nothing"/>
      <w:lvlText w:val="%1Année : "/>
      <w:lvlJc w:val="left"/>
      <w:pPr>
        <w:ind w:left="1008" w:hanging="1008"/>
      </w:pPr>
      <w:rPr>
        <w:rFonts w:hint="default"/>
      </w:rPr>
    </w:lvl>
    <w:lvl w:ilvl="5">
      <w:start w:val="1"/>
      <w:numFmt w:val="none"/>
      <w:pStyle w:val="UE-Type"/>
      <w:suff w:val="nothing"/>
      <w:lvlText w:val="Intitulé diplôme : "/>
      <w:lvlJc w:val="left"/>
      <w:pPr>
        <w:ind w:left="1152" w:hanging="1152"/>
      </w:pPr>
      <w:rPr>
        <w:rFonts w:hint="default"/>
      </w:rPr>
    </w:lvl>
    <w:lvl w:ilvl="6">
      <w:start w:val="1"/>
      <w:numFmt w:val="none"/>
      <w:pStyle w:val="UE-Intitule"/>
      <w:suff w:val="nothing"/>
      <w:lvlText w:val="%1Intitulé de l'UE : "/>
      <w:lvlJc w:val="left"/>
      <w:pPr>
        <w:ind w:left="1296" w:hanging="1296"/>
      </w:pPr>
      <w:rPr>
        <w:rFonts w:hint="default"/>
      </w:rPr>
    </w:lvl>
    <w:lvl w:ilvl="7">
      <w:start w:val="1"/>
      <w:numFmt w:val="none"/>
      <w:pStyle w:val="Serienum"/>
      <w:suff w:val="nothing"/>
      <w:lvlText w:val="%1Numéro de la série : "/>
      <w:lvlJc w:val="left"/>
      <w:pPr>
        <w:ind w:left="1440" w:hanging="1440"/>
      </w:pPr>
      <w:rPr>
        <w:rFonts w:hint="default"/>
      </w:rPr>
    </w:lvl>
    <w:lvl w:ilvl="8">
      <w:start w:val="1"/>
      <w:numFmt w:val="none"/>
      <w:pStyle w:val="SerieTitre"/>
      <w:suff w:val="nothing"/>
      <w:lvlText w:val="%1Titre de la série : "/>
      <w:lvlJc w:val="left"/>
      <w:pPr>
        <w:ind w:left="1584" w:hanging="1584"/>
      </w:pPr>
      <w:rPr>
        <w:rFonts w:hint="default"/>
      </w:rPr>
    </w:lvl>
  </w:abstractNum>
  <w:abstractNum w:abstractNumId="13" w15:restartNumberingAfterBreak="0">
    <w:nsid w:val="11BB5C5D"/>
    <w:multiLevelType w:val="hybridMultilevel"/>
    <w:tmpl w:val="2B9ED564"/>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4" w15:restartNumberingAfterBreak="0">
    <w:nsid w:val="1BFD718B"/>
    <w:multiLevelType w:val="hybridMultilevel"/>
    <w:tmpl w:val="178A8BA4"/>
    <w:lvl w:ilvl="0" w:tplc="83ACE440">
      <w:start w:val="1"/>
      <w:numFmt w:val="bullet"/>
      <w:pStyle w:val="ET"/>
      <w:lvlText w:val=""/>
      <w:lvlJc w:val="left"/>
      <w:pPr>
        <w:tabs>
          <w:tab w:val="num" w:pos="1871"/>
        </w:tabs>
        <w:ind w:left="1871" w:hanging="17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061BCB"/>
    <w:multiLevelType w:val="multilevel"/>
    <w:tmpl w:val="C1186666"/>
    <w:lvl w:ilvl="0">
      <w:start w:val="1"/>
      <w:numFmt w:val="none"/>
      <w:pStyle w:val="LibelleRubrique"/>
      <w:suff w:val="space"/>
      <w:lvlText w:val="Libellé : "/>
      <w:lvlJc w:val="left"/>
      <w:pPr>
        <w:ind w:left="2269" w:firstLine="0"/>
      </w:pPr>
      <w:rPr>
        <w:rFonts w:hint="default"/>
      </w:rPr>
    </w:lvl>
    <w:lvl w:ilvl="1">
      <w:start w:val="1"/>
      <w:numFmt w:val="none"/>
      <w:suff w:val="nothing"/>
      <w:lvlText w:val=""/>
      <w:lvlJc w:val="left"/>
      <w:pPr>
        <w:ind w:left="1135" w:firstLine="0"/>
      </w:pPr>
      <w:rPr>
        <w:rFonts w:hint="default"/>
      </w:rPr>
    </w:lvl>
    <w:lvl w:ilvl="2">
      <w:start w:val="1"/>
      <w:numFmt w:val="none"/>
      <w:suff w:val="nothing"/>
      <w:lvlText w:val=""/>
      <w:lvlJc w:val="left"/>
      <w:pPr>
        <w:ind w:left="1135" w:firstLine="0"/>
      </w:pPr>
      <w:rPr>
        <w:rFonts w:hint="default"/>
      </w:rPr>
    </w:lvl>
    <w:lvl w:ilvl="3">
      <w:start w:val="1"/>
      <w:numFmt w:val="none"/>
      <w:suff w:val="nothing"/>
      <w:lvlText w:val=""/>
      <w:lvlJc w:val="left"/>
      <w:pPr>
        <w:ind w:left="1135" w:firstLine="0"/>
      </w:pPr>
      <w:rPr>
        <w:rFonts w:hint="default"/>
      </w:rPr>
    </w:lvl>
    <w:lvl w:ilvl="4">
      <w:start w:val="1"/>
      <w:numFmt w:val="none"/>
      <w:suff w:val="nothing"/>
      <w:lvlText w:val=""/>
      <w:lvlJc w:val="left"/>
      <w:pPr>
        <w:ind w:left="1135" w:firstLine="0"/>
      </w:pPr>
      <w:rPr>
        <w:rFonts w:hint="default"/>
      </w:rPr>
    </w:lvl>
    <w:lvl w:ilvl="5">
      <w:start w:val="1"/>
      <w:numFmt w:val="none"/>
      <w:suff w:val="nothing"/>
      <w:lvlText w:val=""/>
      <w:lvlJc w:val="left"/>
      <w:pPr>
        <w:ind w:left="1135" w:firstLine="0"/>
      </w:pPr>
      <w:rPr>
        <w:rFonts w:hint="default"/>
      </w:rPr>
    </w:lvl>
    <w:lvl w:ilvl="6">
      <w:start w:val="1"/>
      <w:numFmt w:val="none"/>
      <w:suff w:val="nothing"/>
      <w:lvlText w:val=""/>
      <w:lvlJc w:val="left"/>
      <w:pPr>
        <w:ind w:left="1135" w:firstLine="0"/>
      </w:pPr>
      <w:rPr>
        <w:rFonts w:hint="default"/>
      </w:rPr>
    </w:lvl>
    <w:lvl w:ilvl="7">
      <w:start w:val="1"/>
      <w:numFmt w:val="none"/>
      <w:suff w:val="nothing"/>
      <w:lvlText w:val=""/>
      <w:lvlJc w:val="left"/>
      <w:pPr>
        <w:ind w:left="1135" w:firstLine="0"/>
      </w:pPr>
      <w:rPr>
        <w:rFonts w:hint="default"/>
      </w:rPr>
    </w:lvl>
    <w:lvl w:ilvl="8">
      <w:start w:val="1"/>
      <w:numFmt w:val="none"/>
      <w:suff w:val="nothing"/>
      <w:lvlText w:val=""/>
      <w:lvlJc w:val="left"/>
      <w:pPr>
        <w:ind w:left="1135" w:firstLine="0"/>
      </w:pPr>
      <w:rPr>
        <w:rFonts w:hint="default"/>
      </w:rPr>
    </w:lvl>
  </w:abstractNum>
  <w:abstractNum w:abstractNumId="16" w15:restartNumberingAfterBreak="0">
    <w:nsid w:val="1E5E2347"/>
    <w:multiLevelType w:val="multilevel"/>
    <w:tmpl w:val="8A6259D0"/>
    <w:lvl w:ilvl="0">
      <w:start w:val="1"/>
      <w:numFmt w:val="none"/>
      <w:suff w:val="nothing"/>
      <w:lvlText w:val="%1Code Intec : "/>
      <w:lvlJc w:val="left"/>
      <w:pPr>
        <w:ind w:left="2700" w:hanging="432"/>
      </w:pPr>
      <w:rPr>
        <w:rFonts w:hint="default"/>
      </w:rPr>
    </w:lvl>
    <w:lvl w:ilvl="1">
      <w:start w:val="1"/>
      <w:numFmt w:val="none"/>
      <w:suff w:val="nothing"/>
      <w:lvlText w:val="%1Code CNED : "/>
      <w:lvlJc w:val="left"/>
      <w:pPr>
        <w:ind w:left="2844" w:hanging="576"/>
      </w:pPr>
      <w:rPr>
        <w:rFonts w:hint="default"/>
      </w:rPr>
    </w:lvl>
    <w:lvl w:ilvl="2">
      <w:start w:val="1"/>
      <w:numFmt w:val="none"/>
      <w:suff w:val="nothing"/>
      <w:lvlText w:val="%1Code Intec 2 : "/>
      <w:lvlJc w:val="left"/>
      <w:pPr>
        <w:ind w:left="2988" w:hanging="720"/>
      </w:pPr>
      <w:rPr>
        <w:rFonts w:hint="default"/>
      </w:rPr>
    </w:lvl>
    <w:lvl w:ilvl="3">
      <w:start w:val="1"/>
      <w:numFmt w:val="none"/>
      <w:suff w:val="nothing"/>
      <w:lvlText w:val="Code CNED 2 : "/>
      <w:lvlJc w:val="left"/>
      <w:pPr>
        <w:ind w:left="3132" w:hanging="864"/>
      </w:pPr>
      <w:rPr>
        <w:rFonts w:hint="default"/>
      </w:rPr>
    </w:lvl>
    <w:lvl w:ilvl="4">
      <w:start w:val="1"/>
      <w:numFmt w:val="none"/>
      <w:suff w:val="nothing"/>
      <w:lvlText w:val="%1Année : "/>
      <w:lvlJc w:val="left"/>
      <w:pPr>
        <w:ind w:left="3276" w:hanging="1008"/>
      </w:pPr>
      <w:rPr>
        <w:rFonts w:hint="default"/>
      </w:rPr>
    </w:lvl>
    <w:lvl w:ilvl="5">
      <w:start w:val="1"/>
      <w:numFmt w:val="none"/>
      <w:suff w:val="nothing"/>
      <w:lvlText w:val="Intitulé diplôme : "/>
      <w:lvlJc w:val="left"/>
      <w:pPr>
        <w:ind w:left="3420" w:hanging="1152"/>
      </w:pPr>
      <w:rPr>
        <w:rFonts w:hint="default"/>
      </w:rPr>
    </w:lvl>
    <w:lvl w:ilvl="6">
      <w:start w:val="1"/>
      <w:numFmt w:val="none"/>
      <w:suff w:val="nothing"/>
      <w:lvlText w:val="%1Intitulé de l'UE : "/>
      <w:lvlJc w:val="left"/>
      <w:pPr>
        <w:ind w:left="3564" w:hanging="1296"/>
      </w:pPr>
      <w:rPr>
        <w:rFonts w:hint="default"/>
      </w:rPr>
    </w:lvl>
    <w:lvl w:ilvl="7">
      <w:start w:val="1"/>
      <w:numFmt w:val="none"/>
      <w:pStyle w:val="TSnum"/>
      <w:suff w:val="nothing"/>
      <w:lvlText w:val="%1Numéro de la série : "/>
      <w:lvlJc w:val="left"/>
      <w:pPr>
        <w:ind w:left="3708" w:hanging="1440"/>
      </w:pPr>
      <w:rPr>
        <w:rFonts w:hint="default"/>
      </w:rPr>
    </w:lvl>
    <w:lvl w:ilvl="8">
      <w:start w:val="1"/>
      <w:numFmt w:val="none"/>
      <w:suff w:val="nothing"/>
      <w:lvlText w:val="%1Titre de la série : "/>
      <w:lvlJc w:val="left"/>
      <w:pPr>
        <w:ind w:left="3852" w:hanging="1584"/>
      </w:pPr>
      <w:rPr>
        <w:rFonts w:hint="default"/>
      </w:rPr>
    </w:lvl>
  </w:abstractNum>
  <w:abstractNum w:abstractNumId="17" w15:restartNumberingAfterBreak="0">
    <w:nsid w:val="214937F3"/>
    <w:multiLevelType w:val="hybridMultilevel"/>
    <w:tmpl w:val="07F0C252"/>
    <w:lvl w:ilvl="0" w:tplc="EE027A02">
      <w:start w:val="1"/>
      <w:numFmt w:val="decimal"/>
      <w:pStyle w:val="TitreModule"/>
      <w:lvlText w:val="Module %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4FC2160"/>
    <w:multiLevelType w:val="multilevel"/>
    <w:tmpl w:val="1EAE58CE"/>
    <w:lvl w:ilvl="0">
      <w:start w:val="1"/>
      <w:numFmt w:val="bullet"/>
      <w:pStyle w:val="TabListe1"/>
      <w:lvlText w:val=""/>
      <w:lvlJc w:val="left"/>
      <w:pPr>
        <w:tabs>
          <w:tab w:val="num" w:pos="170"/>
        </w:tabs>
        <w:ind w:left="170" w:hanging="170"/>
      </w:pPr>
      <w:rPr>
        <w:rFonts w:ascii="Symbol" w:hAnsi="Symbol" w:cs="Symbol" w:hint="default"/>
      </w:rPr>
    </w:lvl>
    <w:lvl w:ilvl="1">
      <w:start w:val="1"/>
      <w:numFmt w:val="bullet"/>
      <w:lvlText w:val=""/>
      <w:lvlJc w:val="left"/>
      <w:pPr>
        <w:tabs>
          <w:tab w:val="num" w:pos="1004"/>
        </w:tabs>
        <w:ind w:left="1004" w:hanging="360"/>
      </w:pPr>
      <w:rPr>
        <w:rFonts w:ascii="Wingdings" w:hAnsi="Wingdings" w:hint="default"/>
      </w:rPr>
    </w:lvl>
    <w:lvl w:ilvl="2">
      <w:start w:val="1"/>
      <w:numFmt w:val="bullet"/>
      <w:lvlText w:val=""/>
      <w:lvlJc w:val="left"/>
      <w:pPr>
        <w:tabs>
          <w:tab w:val="num" w:pos="1364"/>
        </w:tabs>
        <w:ind w:left="1364" w:hanging="360"/>
      </w:pPr>
      <w:rPr>
        <w:rFonts w:ascii="Wingdings" w:hAnsi="Wingdings" w:hint="default"/>
      </w:rPr>
    </w:lvl>
    <w:lvl w:ilvl="3">
      <w:start w:val="1"/>
      <w:numFmt w:val="bullet"/>
      <w:lvlText w:val=""/>
      <w:lvlJc w:val="left"/>
      <w:pPr>
        <w:tabs>
          <w:tab w:val="num" w:pos="1724"/>
        </w:tabs>
        <w:ind w:left="1724" w:hanging="360"/>
      </w:pPr>
      <w:rPr>
        <w:rFonts w:ascii="Symbol" w:hAnsi="Symbol" w:hint="default"/>
      </w:rPr>
    </w:lvl>
    <w:lvl w:ilvl="4">
      <w:start w:val="1"/>
      <w:numFmt w:val="bullet"/>
      <w:lvlText w:val=""/>
      <w:lvlJc w:val="left"/>
      <w:pPr>
        <w:tabs>
          <w:tab w:val="num" w:pos="2084"/>
        </w:tabs>
        <w:ind w:left="2084" w:hanging="360"/>
      </w:pPr>
      <w:rPr>
        <w:rFonts w:ascii="Symbol" w:hAnsi="Symbol" w:hint="default"/>
      </w:rPr>
    </w:lvl>
    <w:lvl w:ilvl="5">
      <w:start w:val="1"/>
      <w:numFmt w:val="bullet"/>
      <w:lvlText w:val=""/>
      <w:lvlJc w:val="left"/>
      <w:pPr>
        <w:tabs>
          <w:tab w:val="num" w:pos="2444"/>
        </w:tabs>
        <w:ind w:left="2444" w:hanging="360"/>
      </w:pPr>
      <w:rPr>
        <w:rFonts w:ascii="Wingdings" w:hAnsi="Wingdings" w:hint="default"/>
      </w:rPr>
    </w:lvl>
    <w:lvl w:ilvl="6">
      <w:start w:val="1"/>
      <w:numFmt w:val="bullet"/>
      <w:lvlText w:val=""/>
      <w:lvlJc w:val="left"/>
      <w:pPr>
        <w:tabs>
          <w:tab w:val="num" w:pos="2804"/>
        </w:tabs>
        <w:ind w:left="2804" w:hanging="360"/>
      </w:pPr>
      <w:rPr>
        <w:rFonts w:ascii="Wingdings" w:hAnsi="Wingdings" w:hint="default"/>
      </w:rPr>
    </w:lvl>
    <w:lvl w:ilvl="7">
      <w:start w:val="1"/>
      <w:numFmt w:val="bullet"/>
      <w:lvlText w:val=""/>
      <w:lvlJc w:val="left"/>
      <w:pPr>
        <w:tabs>
          <w:tab w:val="num" w:pos="3164"/>
        </w:tabs>
        <w:ind w:left="3164" w:hanging="360"/>
      </w:pPr>
      <w:rPr>
        <w:rFonts w:ascii="Symbol" w:hAnsi="Symbol" w:hint="default"/>
      </w:rPr>
    </w:lvl>
    <w:lvl w:ilvl="8">
      <w:start w:val="1"/>
      <w:numFmt w:val="bullet"/>
      <w:lvlText w:val=""/>
      <w:lvlJc w:val="left"/>
      <w:pPr>
        <w:tabs>
          <w:tab w:val="num" w:pos="3524"/>
        </w:tabs>
        <w:ind w:left="3524" w:hanging="360"/>
      </w:pPr>
      <w:rPr>
        <w:rFonts w:ascii="Symbol" w:hAnsi="Symbol" w:hint="default"/>
      </w:rPr>
    </w:lvl>
  </w:abstractNum>
  <w:abstractNum w:abstractNumId="19" w15:restartNumberingAfterBreak="0">
    <w:nsid w:val="25A44A2A"/>
    <w:multiLevelType w:val="multilevel"/>
    <w:tmpl w:val="6A5A9A20"/>
    <w:lvl w:ilvl="0">
      <w:start w:val="1"/>
      <w:numFmt w:val="bullet"/>
      <w:pStyle w:val="TAnnuelSerie"/>
      <w:suff w:val="space"/>
      <w:lvlText w:val=""/>
      <w:lvlJc w:val="left"/>
      <w:pPr>
        <w:ind w:left="0" w:firstLine="0"/>
      </w:pPr>
      <w:rPr>
        <w:rFonts w:ascii="Wingdings" w:hAnsi="Wingdings" w:hint="default"/>
      </w:rPr>
    </w:lvl>
    <w:lvl w:ilvl="1">
      <w:start w:val="1"/>
      <w:numFmt w:val="none"/>
      <w:suff w:val="nothing"/>
      <w:lvlText w:val=""/>
      <w:lvlJc w:val="left"/>
      <w:pPr>
        <w:ind w:left="5672" w:firstLine="0"/>
      </w:pPr>
      <w:rPr>
        <w:rFonts w:hint="default"/>
      </w:rPr>
    </w:lvl>
    <w:lvl w:ilvl="2">
      <w:start w:val="1"/>
      <w:numFmt w:val="none"/>
      <w:suff w:val="nothing"/>
      <w:lvlText w:val=""/>
      <w:lvlJc w:val="left"/>
      <w:pPr>
        <w:ind w:left="5672" w:firstLine="0"/>
      </w:pPr>
      <w:rPr>
        <w:rFonts w:hint="default"/>
      </w:rPr>
    </w:lvl>
    <w:lvl w:ilvl="3">
      <w:start w:val="1"/>
      <w:numFmt w:val="none"/>
      <w:suff w:val="nothing"/>
      <w:lvlText w:val=""/>
      <w:lvlJc w:val="left"/>
      <w:pPr>
        <w:ind w:left="5672" w:firstLine="0"/>
      </w:pPr>
      <w:rPr>
        <w:rFonts w:hint="default"/>
      </w:rPr>
    </w:lvl>
    <w:lvl w:ilvl="4">
      <w:start w:val="1"/>
      <w:numFmt w:val="none"/>
      <w:suff w:val="nothing"/>
      <w:lvlText w:val=""/>
      <w:lvlJc w:val="left"/>
      <w:pPr>
        <w:ind w:left="5672" w:firstLine="0"/>
      </w:pPr>
      <w:rPr>
        <w:rFonts w:hint="default"/>
      </w:rPr>
    </w:lvl>
    <w:lvl w:ilvl="5">
      <w:start w:val="1"/>
      <w:numFmt w:val="none"/>
      <w:suff w:val="nothing"/>
      <w:lvlText w:val=""/>
      <w:lvlJc w:val="left"/>
      <w:pPr>
        <w:ind w:left="5672" w:firstLine="0"/>
      </w:pPr>
      <w:rPr>
        <w:rFonts w:hint="default"/>
      </w:rPr>
    </w:lvl>
    <w:lvl w:ilvl="6">
      <w:start w:val="1"/>
      <w:numFmt w:val="none"/>
      <w:suff w:val="nothing"/>
      <w:lvlText w:val=""/>
      <w:lvlJc w:val="left"/>
      <w:pPr>
        <w:ind w:left="5672" w:firstLine="0"/>
      </w:pPr>
      <w:rPr>
        <w:rFonts w:hint="default"/>
      </w:rPr>
    </w:lvl>
    <w:lvl w:ilvl="7">
      <w:start w:val="1"/>
      <w:numFmt w:val="none"/>
      <w:suff w:val="nothing"/>
      <w:lvlText w:val=""/>
      <w:lvlJc w:val="left"/>
      <w:pPr>
        <w:ind w:left="5672" w:firstLine="0"/>
      </w:pPr>
      <w:rPr>
        <w:rFonts w:hint="default"/>
      </w:rPr>
    </w:lvl>
    <w:lvl w:ilvl="8">
      <w:start w:val="1"/>
      <w:numFmt w:val="none"/>
      <w:suff w:val="nothing"/>
      <w:lvlText w:val=""/>
      <w:lvlJc w:val="left"/>
      <w:pPr>
        <w:ind w:left="5672" w:firstLine="0"/>
      </w:pPr>
      <w:rPr>
        <w:rFonts w:hint="default"/>
      </w:rPr>
    </w:lvl>
  </w:abstractNum>
  <w:abstractNum w:abstractNumId="20" w15:restartNumberingAfterBreak="0">
    <w:nsid w:val="29E57248"/>
    <w:multiLevelType w:val="multilevel"/>
    <w:tmpl w:val="C39CB130"/>
    <w:lvl w:ilvl="0">
      <w:start w:val="1"/>
      <w:numFmt w:val="none"/>
      <w:pStyle w:val="ssTitreRubrique"/>
      <w:lvlText w:val="%1sous-titre : "/>
      <w:lvlJc w:val="left"/>
      <w:pPr>
        <w:tabs>
          <w:tab w:val="num" w:pos="2421"/>
        </w:tabs>
        <w:ind w:left="2061" w:hanging="360"/>
      </w:pPr>
      <w:rPr>
        <w:rFonts w:hint="default"/>
      </w:rPr>
    </w:lvl>
    <w:lvl w:ilvl="1">
      <w:start w:val="1"/>
      <w:numFmt w:val="decimal"/>
      <w:lvlText w:val="%1.%2."/>
      <w:lvlJc w:val="left"/>
      <w:pPr>
        <w:tabs>
          <w:tab w:val="num" w:pos="3141"/>
        </w:tabs>
        <w:ind w:left="2493" w:hanging="432"/>
      </w:pPr>
      <w:rPr>
        <w:rFonts w:hint="default"/>
      </w:rPr>
    </w:lvl>
    <w:lvl w:ilvl="2">
      <w:start w:val="1"/>
      <w:numFmt w:val="decimal"/>
      <w:lvlText w:val="%1.%2.%3."/>
      <w:lvlJc w:val="left"/>
      <w:pPr>
        <w:tabs>
          <w:tab w:val="num" w:pos="3861"/>
        </w:tabs>
        <w:ind w:left="2925" w:hanging="504"/>
      </w:pPr>
      <w:rPr>
        <w:rFonts w:hint="default"/>
      </w:rPr>
    </w:lvl>
    <w:lvl w:ilvl="3">
      <w:start w:val="1"/>
      <w:numFmt w:val="decimal"/>
      <w:lvlText w:val="%1.%2.%3.%4."/>
      <w:lvlJc w:val="left"/>
      <w:pPr>
        <w:tabs>
          <w:tab w:val="num" w:pos="4581"/>
        </w:tabs>
        <w:ind w:left="3429" w:hanging="648"/>
      </w:pPr>
      <w:rPr>
        <w:rFonts w:hint="default"/>
      </w:rPr>
    </w:lvl>
    <w:lvl w:ilvl="4">
      <w:start w:val="1"/>
      <w:numFmt w:val="decimal"/>
      <w:lvlText w:val="%1.%2.%3.%4.%5."/>
      <w:lvlJc w:val="left"/>
      <w:pPr>
        <w:tabs>
          <w:tab w:val="num" w:pos="5301"/>
        </w:tabs>
        <w:ind w:left="3933" w:hanging="792"/>
      </w:pPr>
      <w:rPr>
        <w:rFonts w:hint="default"/>
      </w:rPr>
    </w:lvl>
    <w:lvl w:ilvl="5">
      <w:start w:val="1"/>
      <w:numFmt w:val="decimal"/>
      <w:lvlText w:val="%1.%2.%3.%4.%5.%6."/>
      <w:lvlJc w:val="left"/>
      <w:pPr>
        <w:tabs>
          <w:tab w:val="num" w:pos="6021"/>
        </w:tabs>
        <w:ind w:left="4437" w:hanging="936"/>
      </w:pPr>
      <w:rPr>
        <w:rFonts w:hint="default"/>
      </w:rPr>
    </w:lvl>
    <w:lvl w:ilvl="6">
      <w:start w:val="1"/>
      <w:numFmt w:val="decimal"/>
      <w:lvlText w:val="%1.%2.%3.%4.%5.%6.%7."/>
      <w:lvlJc w:val="left"/>
      <w:pPr>
        <w:tabs>
          <w:tab w:val="num" w:pos="6741"/>
        </w:tabs>
        <w:ind w:left="4941" w:hanging="1080"/>
      </w:pPr>
      <w:rPr>
        <w:rFonts w:hint="default"/>
      </w:rPr>
    </w:lvl>
    <w:lvl w:ilvl="7">
      <w:start w:val="1"/>
      <w:numFmt w:val="decimal"/>
      <w:lvlText w:val="%1.%2.%3.%4.%5.%6.%7.%8."/>
      <w:lvlJc w:val="left"/>
      <w:pPr>
        <w:tabs>
          <w:tab w:val="num" w:pos="7461"/>
        </w:tabs>
        <w:ind w:left="5445" w:hanging="1224"/>
      </w:pPr>
      <w:rPr>
        <w:rFonts w:hint="default"/>
      </w:rPr>
    </w:lvl>
    <w:lvl w:ilvl="8">
      <w:start w:val="1"/>
      <w:numFmt w:val="decimal"/>
      <w:lvlText w:val="%1.%2.%3.%4.%5.%6.%7.%8.%9."/>
      <w:lvlJc w:val="left"/>
      <w:pPr>
        <w:tabs>
          <w:tab w:val="num" w:pos="8181"/>
        </w:tabs>
        <w:ind w:left="6021" w:hanging="1440"/>
      </w:pPr>
      <w:rPr>
        <w:rFonts w:hint="default"/>
      </w:rPr>
    </w:lvl>
  </w:abstractNum>
  <w:abstractNum w:abstractNumId="21" w15:restartNumberingAfterBreak="0">
    <w:nsid w:val="2C23635F"/>
    <w:multiLevelType w:val="multilevel"/>
    <w:tmpl w:val="27AEC8C6"/>
    <w:lvl w:ilvl="0">
      <w:start w:val="1"/>
      <w:numFmt w:val="none"/>
      <w:suff w:val="nothing"/>
      <w:lvlText w:val="%1N° dela Série "/>
      <w:lvlJc w:val="left"/>
      <w:pPr>
        <w:ind w:left="-1152" w:hanging="432"/>
      </w:pPr>
      <w:rPr>
        <w:rFonts w:hint="default"/>
      </w:rPr>
    </w:lvl>
    <w:lvl w:ilvl="1">
      <w:start w:val="1"/>
      <w:numFmt w:val="none"/>
      <w:suff w:val="nothing"/>
      <w:lvlText w:val="%1Code CNED : "/>
      <w:lvlJc w:val="left"/>
      <w:pPr>
        <w:ind w:left="-1008" w:hanging="576"/>
      </w:pPr>
      <w:rPr>
        <w:rFonts w:hint="default"/>
      </w:rPr>
    </w:lvl>
    <w:lvl w:ilvl="2">
      <w:start w:val="1"/>
      <w:numFmt w:val="none"/>
      <w:suff w:val="nothing"/>
      <w:lvlText w:val="%1Code Intec 2 : "/>
      <w:lvlJc w:val="left"/>
      <w:pPr>
        <w:ind w:left="-864" w:hanging="720"/>
      </w:pPr>
      <w:rPr>
        <w:rFonts w:hint="default"/>
      </w:rPr>
    </w:lvl>
    <w:lvl w:ilvl="3">
      <w:start w:val="1"/>
      <w:numFmt w:val="none"/>
      <w:suff w:val="nothing"/>
      <w:lvlText w:val="Code CNED 2 : "/>
      <w:lvlJc w:val="left"/>
      <w:pPr>
        <w:ind w:left="-720" w:hanging="864"/>
      </w:pPr>
      <w:rPr>
        <w:rFonts w:hint="default"/>
      </w:rPr>
    </w:lvl>
    <w:lvl w:ilvl="4">
      <w:start w:val="1"/>
      <w:numFmt w:val="none"/>
      <w:suff w:val="nothing"/>
      <w:lvlText w:val="%1Année : "/>
      <w:lvlJc w:val="left"/>
      <w:pPr>
        <w:ind w:left="-576" w:hanging="1008"/>
      </w:pPr>
      <w:rPr>
        <w:rFonts w:hint="default"/>
      </w:rPr>
    </w:lvl>
    <w:lvl w:ilvl="5">
      <w:start w:val="1"/>
      <w:numFmt w:val="none"/>
      <w:suff w:val="nothing"/>
      <w:lvlText w:val="Type : "/>
      <w:lvlJc w:val="left"/>
      <w:pPr>
        <w:ind w:left="-432" w:hanging="1152"/>
      </w:pPr>
      <w:rPr>
        <w:rFonts w:hint="default"/>
      </w:rPr>
    </w:lvl>
    <w:lvl w:ilvl="6">
      <w:start w:val="1"/>
      <w:numFmt w:val="none"/>
      <w:pStyle w:val="TssSerie"/>
      <w:suff w:val="nothing"/>
      <w:lvlText w:val="ssTitre de la série : "/>
      <w:lvlJc w:val="left"/>
      <w:pPr>
        <w:ind w:left="-288" w:hanging="1296"/>
      </w:pPr>
      <w:rPr>
        <w:rFonts w:hint="default"/>
      </w:rPr>
    </w:lvl>
    <w:lvl w:ilvl="7">
      <w:start w:val="1"/>
      <w:numFmt w:val="none"/>
      <w:suff w:val="nothing"/>
      <w:lvlText w:val="%1Numéro de la série : "/>
      <w:lvlJc w:val="left"/>
      <w:pPr>
        <w:ind w:left="-144" w:hanging="1440"/>
      </w:pPr>
      <w:rPr>
        <w:rFonts w:hint="default"/>
      </w:rPr>
    </w:lvl>
    <w:lvl w:ilvl="8">
      <w:start w:val="1"/>
      <w:numFmt w:val="none"/>
      <w:suff w:val="nothing"/>
      <w:lvlText w:val="%1Titre de la série : "/>
      <w:lvlJc w:val="left"/>
      <w:pPr>
        <w:ind w:left="0" w:hanging="1584"/>
      </w:pPr>
      <w:rPr>
        <w:rFonts w:hint="default"/>
      </w:rPr>
    </w:lvl>
  </w:abstractNum>
  <w:abstractNum w:abstractNumId="22" w15:restartNumberingAfterBreak="0">
    <w:nsid w:val="2E6E5CFC"/>
    <w:multiLevelType w:val="multilevel"/>
    <w:tmpl w:val="B27493CE"/>
    <w:lvl w:ilvl="0">
      <w:start w:val="1"/>
      <w:numFmt w:val="bullet"/>
      <w:pStyle w:val="TNiv3"/>
      <w:suff w:val="space"/>
      <w:lvlText w:val=""/>
      <w:lvlJc w:val="left"/>
      <w:pPr>
        <w:ind w:left="567" w:firstLine="0"/>
      </w:pPr>
      <w:rPr>
        <w:rFonts w:ascii="Wingdings" w:hAnsi="Wingdings" w:hint="default"/>
      </w:rPr>
    </w:lvl>
    <w:lvl w:ilvl="1">
      <w:start w:val="1"/>
      <w:numFmt w:val="none"/>
      <w:suff w:val="nothing"/>
      <w:lvlText w:val=""/>
      <w:lvlJc w:val="left"/>
      <w:pPr>
        <w:ind w:left="4254" w:firstLine="0"/>
      </w:pPr>
      <w:rPr>
        <w:rFonts w:hint="default"/>
      </w:rPr>
    </w:lvl>
    <w:lvl w:ilvl="2">
      <w:start w:val="1"/>
      <w:numFmt w:val="none"/>
      <w:suff w:val="nothing"/>
      <w:lvlText w:val=""/>
      <w:lvlJc w:val="left"/>
      <w:pPr>
        <w:ind w:left="4254" w:firstLine="0"/>
      </w:pPr>
      <w:rPr>
        <w:rFonts w:hint="default"/>
      </w:rPr>
    </w:lvl>
    <w:lvl w:ilvl="3">
      <w:start w:val="1"/>
      <w:numFmt w:val="none"/>
      <w:suff w:val="nothing"/>
      <w:lvlText w:val=""/>
      <w:lvlJc w:val="left"/>
      <w:pPr>
        <w:ind w:left="4254" w:firstLine="0"/>
      </w:pPr>
      <w:rPr>
        <w:rFonts w:hint="default"/>
      </w:rPr>
    </w:lvl>
    <w:lvl w:ilvl="4">
      <w:start w:val="1"/>
      <w:numFmt w:val="none"/>
      <w:suff w:val="nothing"/>
      <w:lvlText w:val=""/>
      <w:lvlJc w:val="left"/>
      <w:pPr>
        <w:ind w:left="4254" w:firstLine="0"/>
      </w:pPr>
      <w:rPr>
        <w:rFonts w:hint="default"/>
      </w:rPr>
    </w:lvl>
    <w:lvl w:ilvl="5">
      <w:start w:val="1"/>
      <w:numFmt w:val="none"/>
      <w:suff w:val="nothing"/>
      <w:lvlText w:val=""/>
      <w:lvlJc w:val="left"/>
      <w:pPr>
        <w:ind w:left="4254" w:firstLine="0"/>
      </w:pPr>
      <w:rPr>
        <w:rFonts w:hint="default"/>
      </w:rPr>
    </w:lvl>
    <w:lvl w:ilvl="6">
      <w:start w:val="1"/>
      <w:numFmt w:val="none"/>
      <w:suff w:val="nothing"/>
      <w:lvlText w:val=""/>
      <w:lvlJc w:val="left"/>
      <w:pPr>
        <w:ind w:left="4254" w:firstLine="0"/>
      </w:pPr>
      <w:rPr>
        <w:rFonts w:hint="default"/>
      </w:rPr>
    </w:lvl>
    <w:lvl w:ilvl="7">
      <w:start w:val="1"/>
      <w:numFmt w:val="none"/>
      <w:suff w:val="nothing"/>
      <w:lvlText w:val=""/>
      <w:lvlJc w:val="left"/>
      <w:pPr>
        <w:ind w:left="4254" w:firstLine="0"/>
      </w:pPr>
      <w:rPr>
        <w:rFonts w:hint="default"/>
      </w:rPr>
    </w:lvl>
    <w:lvl w:ilvl="8">
      <w:start w:val="1"/>
      <w:numFmt w:val="none"/>
      <w:suff w:val="nothing"/>
      <w:lvlText w:val=""/>
      <w:lvlJc w:val="left"/>
      <w:pPr>
        <w:ind w:left="4254" w:firstLine="0"/>
      </w:pPr>
      <w:rPr>
        <w:rFonts w:hint="default"/>
      </w:rPr>
    </w:lvl>
  </w:abstractNum>
  <w:abstractNum w:abstractNumId="23" w15:restartNumberingAfterBreak="0">
    <w:nsid w:val="30F90C85"/>
    <w:multiLevelType w:val="hybridMultilevel"/>
    <w:tmpl w:val="98F6AF5A"/>
    <w:lvl w:ilvl="0" w:tplc="8EB43C24">
      <w:start w:val="1"/>
      <w:numFmt w:val="bullet"/>
      <w:pStyle w:val="TabListe2"/>
      <w:lvlText w:val="­"/>
      <w:lvlJc w:val="left"/>
      <w:pPr>
        <w:tabs>
          <w:tab w:val="num" w:pos="340"/>
        </w:tabs>
        <w:ind w:left="340" w:hanging="170"/>
      </w:pPr>
      <w:rPr>
        <w:rFonts w:ascii="Arial" w:hAnsi="Arial" w:hint="default"/>
        <w:b w:val="0"/>
        <w:i w:val="0"/>
        <w:color w:val="auto"/>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B73FAB"/>
    <w:multiLevelType w:val="hybridMultilevel"/>
    <w:tmpl w:val="66765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BC941BF"/>
    <w:multiLevelType w:val="hybridMultilevel"/>
    <w:tmpl w:val="02420D96"/>
    <w:lvl w:ilvl="0" w:tplc="447A7F98">
      <w:start w:val="1"/>
      <w:numFmt w:val="bullet"/>
      <w:pStyle w:val="TNiv4"/>
      <w:lvlText w:val=""/>
      <w:lvlJc w:val="left"/>
      <w:pPr>
        <w:tabs>
          <w:tab w:val="num" w:pos="2988"/>
        </w:tabs>
        <w:ind w:left="2988" w:hanging="360"/>
      </w:pPr>
      <w:rPr>
        <w:rFonts w:ascii="Wingdings" w:hAnsi="Wingdings" w:hint="default"/>
      </w:rPr>
    </w:lvl>
    <w:lvl w:ilvl="1" w:tplc="040C0003" w:tentative="1">
      <w:start w:val="1"/>
      <w:numFmt w:val="bullet"/>
      <w:lvlText w:val="o"/>
      <w:lvlJc w:val="left"/>
      <w:pPr>
        <w:tabs>
          <w:tab w:val="num" w:pos="3708"/>
        </w:tabs>
        <w:ind w:left="3708" w:hanging="360"/>
      </w:pPr>
      <w:rPr>
        <w:rFonts w:ascii="Courier New" w:hAnsi="Courier New" w:cs="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cs="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cs="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6" w15:restartNumberingAfterBreak="0">
    <w:nsid w:val="3DB8781F"/>
    <w:multiLevelType w:val="hybridMultilevel"/>
    <w:tmpl w:val="213408AC"/>
    <w:lvl w:ilvl="0" w:tplc="7818B2CA">
      <w:start w:val="1"/>
      <w:numFmt w:val="bullet"/>
      <w:pStyle w:val="T-Entrainemen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DFB7E6F"/>
    <w:multiLevelType w:val="multilevel"/>
    <w:tmpl w:val="73CA7E44"/>
    <w:lvl w:ilvl="0">
      <w:start w:val="1"/>
      <w:numFmt w:val="bullet"/>
      <w:pStyle w:val="TNiv2"/>
      <w:suff w:val="space"/>
      <w:lvlText w:val=""/>
      <w:lvlJc w:val="left"/>
      <w:pPr>
        <w:ind w:left="284" w:firstLine="0"/>
      </w:pPr>
      <w:rPr>
        <w:rFonts w:ascii="Wingdings" w:hAnsi="Wingdings" w:hint="default"/>
      </w:rPr>
    </w:lvl>
    <w:lvl w:ilvl="1">
      <w:start w:val="1"/>
      <w:numFmt w:val="none"/>
      <w:suff w:val="nothing"/>
      <w:lvlText w:val=""/>
      <w:lvlJc w:val="left"/>
      <w:pPr>
        <w:ind w:left="1135" w:firstLine="0"/>
      </w:pPr>
      <w:rPr>
        <w:rFonts w:hint="default"/>
      </w:rPr>
    </w:lvl>
    <w:lvl w:ilvl="2">
      <w:start w:val="1"/>
      <w:numFmt w:val="none"/>
      <w:suff w:val="nothing"/>
      <w:lvlText w:val=""/>
      <w:lvlJc w:val="left"/>
      <w:pPr>
        <w:ind w:left="1135" w:firstLine="0"/>
      </w:pPr>
      <w:rPr>
        <w:rFonts w:hint="default"/>
      </w:rPr>
    </w:lvl>
    <w:lvl w:ilvl="3">
      <w:start w:val="1"/>
      <w:numFmt w:val="none"/>
      <w:suff w:val="nothing"/>
      <w:lvlText w:val=""/>
      <w:lvlJc w:val="left"/>
      <w:pPr>
        <w:ind w:left="1135" w:firstLine="0"/>
      </w:pPr>
      <w:rPr>
        <w:rFonts w:hint="default"/>
      </w:rPr>
    </w:lvl>
    <w:lvl w:ilvl="4">
      <w:start w:val="1"/>
      <w:numFmt w:val="none"/>
      <w:suff w:val="nothing"/>
      <w:lvlText w:val=""/>
      <w:lvlJc w:val="left"/>
      <w:pPr>
        <w:ind w:left="1135" w:firstLine="0"/>
      </w:pPr>
      <w:rPr>
        <w:rFonts w:hint="default"/>
      </w:rPr>
    </w:lvl>
    <w:lvl w:ilvl="5">
      <w:start w:val="1"/>
      <w:numFmt w:val="none"/>
      <w:suff w:val="nothing"/>
      <w:lvlText w:val=""/>
      <w:lvlJc w:val="left"/>
      <w:pPr>
        <w:ind w:left="1135" w:firstLine="0"/>
      </w:pPr>
      <w:rPr>
        <w:rFonts w:hint="default"/>
      </w:rPr>
    </w:lvl>
    <w:lvl w:ilvl="6">
      <w:start w:val="1"/>
      <w:numFmt w:val="none"/>
      <w:suff w:val="nothing"/>
      <w:lvlText w:val=""/>
      <w:lvlJc w:val="left"/>
      <w:pPr>
        <w:ind w:left="1135" w:firstLine="0"/>
      </w:pPr>
      <w:rPr>
        <w:rFonts w:hint="default"/>
      </w:rPr>
    </w:lvl>
    <w:lvl w:ilvl="7">
      <w:start w:val="1"/>
      <w:numFmt w:val="none"/>
      <w:suff w:val="nothing"/>
      <w:lvlText w:val=""/>
      <w:lvlJc w:val="left"/>
      <w:pPr>
        <w:ind w:left="1135" w:firstLine="0"/>
      </w:pPr>
      <w:rPr>
        <w:rFonts w:hint="default"/>
      </w:rPr>
    </w:lvl>
    <w:lvl w:ilvl="8">
      <w:start w:val="1"/>
      <w:numFmt w:val="none"/>
      <w:suff w:val="nothing"/>
      <w:lvlText w:val=""/>
      <w:lvlJc w:val="left"/>
      <w:pPr>
        <w:ind w:left="1135" w:firstLine="0"/>
      </w:pPr>
      <w:rPr>
        <w:rFonts w:hint="default"/>
      </w:rPr>
    </w:lvl>
  </w:abstractNum>
  <w:abstractNum w:abstractNumId="28" w15:restartNumberingAfterBreak="0">
    <w:nsid w:val="41854F1E"/>
    <w:multiLevelType w:val="multilevel"/>
    <w:tmpl w:val="A59AA384"/>
    <w:lvl w:ilvl="0">
      <w:start w:val="1"/>
      <w:numFmt w:val="bullet"/>
      <w:pStyle w:val="TNiv1"/>
      <w:suff w:val="space"/>
      <w:lvlText w:val=""/>
      <w:lvlJc w:val="left"/>
      <w:pPr>
        <w:ind w:left="0" w:firstLine="0"/>
      </w:pPr>
      <w:rPr>
        <w:rFonts w:ascii="Wingdings" w:hAnsi="Wingdings" w:hint="default"/>
      </w:rPr>
    </w:lvl>
    <w:lvl w:ilvl="1">
      <w:start w:val="1"/>
      <w:numFmt w:val="none"/>
      <w:suff w:val="nothing"/>
      <w:lvlText w:val=""/>
      <w:lvlJc w:val="left"/>
      <w:pPr>
        <w:ind w:left="851" w:firstLine="0"/>
      </w:pPr>
      <w:rPr>
        <w:rFonts w:hint="default"/>
      </w:rPr>
    </w:lvl>
    <w:lvl w:ilvl="2">
      <w:start w:val="1"/>
      <w:numFmt w:val="none"/>
      <w:suff w:val="nothing"/>
      <w:lvlText w:val=""/>
      <w:lvlJc w:val="left"/>
      <w:pPr>
        <w:ind w:left="851" w:firstLine="0"/>
      </w:pPr>
      <w:rPr>
        <w:rFonts w:hint="default"/>
      </w:rPr>
    </w:lvl>
    <w:lvl w:ilvl="3">
      <w:start w:val="1"/>
      <w:numFmt w:val="none"/>
      <w:suff w:val="nothing"/>
      <w:lvlText w:val=""/>
      <w:lvlJc w:val="left"/>
      <w:pPr>
        <w:ind w:left="851" w:firstLine="0"/>
      </w:pPr>
      <w:rPr>
        <w:rFonts w:hint="default"/>
      </w:rPr>
    </w:lvl>
    <w:lvl w:ilvl="4">
      <w:start w:val="1"/>
      <w:numFmt w:val="none"/>
      <w:suff w:val="nothing"/>
      <w:lvlText w:val=""/>
      <w:lvlJc w:val="left"/>
      <w:pPr>
        <w:ind w:left="851" w:firstLine="0"/>
      </w:pPr>
      <w:rPr>
        <w:rFonts w:hint="default"/>
      </w:rPr>
    </w:lvl>
    <w:lvl w:ilvl="5">
      <w:start w:val="1"/>
      <w:numFmt w:val="none"/>
      <w:suff w:val="nothing"/>
      <w:lvlText w:val=""/>
      <w:lvlJc w:val="left"/>
      <w:pPr>
        <w:ind w:left="851" w:firstLine="0"/>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29" w15:restartNumberingAfterBreak="0">
    <w:nsid w:val="4523082E"/>
    <w:multiLevelType w:val="hybridMultilevel"/>
    <w:tmpl w:val="DDC0A248"/>
    <w:lvl w:ilvl="0" w:tplc="741C389E">
      <w:start w:val="1"/>
      <w:numFmt w:val="bullet"/>
      <w:pStyle w:val="PE"/>
      <w:lvlText w:val=""/>
      <w:lvlJc w:val="left"/>
      <w:pPr>
        <w:tabs>
          <w:tab w:val="num" w:pos="1985"/>
        </w:tabs>
        <w:ind w:left="1985" w:hanging="284"/>
      </w:pPr>
      <w:rPr>
        <w:rFonts w:ascii="Symbol" w:hAnsi="Symbol" w:hint="default"/>
        <w:b w:val="0"/>
        <w:i w:val="0"/>
        <w:color w:val="auto"/>
        <w:sz w:val="20"/>
      </w:rPr>
    </w:lvl>
    <w:lvl w:ilvl="1" w:tplc="016693C2"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5D1572"/>
    <w:multiLevelType w:val="hybridMultilevel"/>
    <w:tmpl w:val="1D6049FC"/>
    <w:lvl w:ilvl="0" w:tplc="96A23496">
      <w:start w:val="1"/>
      <w:numFmt w:val="bullet"/>
      <w:pStyle w:val="SEP"/>
      <w:lvlText w:val="­"/>
      <w:lvlJc w:val="left"/>
      <w:pPr>
        <w:tabs>
          <w:tab w:val="num" w:pos="2155"/>
        </w:tabs>
        <w:ind w:left="2155" w:hanging="170"/>
      </w:pPr>
      <w:rPr>
        <w:rFonts w:ascii="Arial" w:hAnsi="Arial" w:hint="default"/>
        <w:b w:val="0"/>
        <w:i w:val="0"/>
        <w:color w:val="auto"/>
        <w:sz w:val="18"/>
        <w:szCs w:val="18"/>
      </w:rPr>
    </w:lvl>
    <w:lvl w:ilvl="1" w:tplc="F2345150">
      <w:start w:val="1"/>
      <w:numFmt w:val="bullet"/>
      <w:pStyle w:val="SEP"/>
      <w:lvlText w:val=""/>
      <w:lvlJc w:val="left"/>
      <w:pPr>
        <w:tabs>
          <w:tab w:val="num" w:pos="1440"/>
        </w:tabs>
        <w:ind w:left="2155" w:hanging="170"/>
      </w:pPr>
      <w:rPr>
        <w:rFonts w:ascii="Symbol" w:hAnsi="Symbol" w:hint="default"/>
        <w:b w:val="0"/>
        <w:i w:val="0"/>
        <w:sz w:val="1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w:hAnsi="Courier"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w:hAnsi="Courier"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97E3BCE"/>
    <w:multiLevelType w:val="multilevel"/>
    <w:tmpl w:val="3702DA0C"/>
    <w:lvl w:ilvl="0">
      <w:start w:val="1"/>
      <w:numFmt w:val="bullet"/>
      <w:lvlText w:val="-"/>
      <w:lvlJc w:val="left"/>
      <w:pPr>
        <w:tabs>
          <w:tab w:val="num" w:pos="170"/>
        </w:tabs>
        <w:ind w:left="340" w:hanging="170"/>
      </w:pPr>
      <w:rPr>
        <w:rFonts w:ascii="Courier New" w:hAnsi="Courier New" w:hint="default"/>
        <w:b w:val="0"/>
        <w:i w:val="0"/>
        <w:sz w:val="18"/>
      </w:rPr>
    </w:lvl>
    <w:lvl w:ilvl="1">
      <w:start w:val="1"/>
      <w:numFmt w:val="bullet"/>
      <w:lvlText w:val=""/>
      <w:lvlJc w:val="left"/>
      <w:pPr>
        <w:tabs>
          <w:tab w:val="num" w:pos="1440"/>
        </w:tabs>
        <w:ind w:left="2155" w:hanging="170"/>
      </w:pPr>
      <w:rPr>
        <w:rFonts w:ascii="Symbol" w:hAnsi="Symbol" w:hint="default"/>
        <w:b w:val="0"/>
        <w:i w:val="0"/>
        <w:sz w:val="18"/>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w:hAnsi="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w:hAnsi="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18721C"/>
    <w:multiLevelType w:val="multilevel"/>
    <w:tmpl w:val="040C001F"/>
    <w:styleLink w:val="111111"/>
    <w:lvl w:ilvl="0">
      <w:start w:val="1"/>
      <w:numFmt w:val="decimal"/>
      <w:lvlText w:val="%1."/>
      <w:lvlJc w:val="left"/>
      <w:pPr>
        <w:tabs>
          <w:tab w:val="num" w:pos="1080"/>
        </w:tabs>
        <w:ind w:left="360" w:hanging="360"/>
      </w:pPr>
      <w:rPr>
        <w:dstrike w:val="0"/>
        <w:effect w:val="none"/>
      </w:rPr>
    </w:lvl>
    <w:lvl w:ilvl="1">
      <w:start w:val="1"/>
      <w:numFmt w:val="decimal"/>
      <w:lvlText w:val="%1.%2."/>
      <w:lvlJc w:val="left"/>
      <w:pPr>
        <w:tabs>
          <w:tab w:val="num" w:pos="2160"/>
        </w:tabs>
        <w:ind w:left="792" w:hanging="432"/>
      </w:pPr>
    </w:lvl>
    <w:lvl w:ilvl="2">
      <w:start w:val="1"/>
      <w:numFmt w:val="decimal"/>
      <w:lvlText w:val="%1.%2.%3."/>
      <w:lvlJc w:val="left"/>
      <w:pPr>
        <w:tabs>
          <w:tab w:val="num" w:pos="3240"/>
        </w:tabs>
        <w:ind w:left="1224" w:hanging="504"/>
      </w:pPr>
    </w:lvl>
    <w:lvl w:ilvl="3">
      <w:start w:val="1"/>
      <w:numFmt w:val="decimal"/>
      <w:lvlText w:val="%1.%2.%3.%4."/>
      <w:lvlJc w:val="left"/>
      <w:pPr>
        <w:tabs>
          <w:tab w:val="num" w:pos="4320"/>
        </w:tabs>
        <w:ind w:left="1728" w:hanging="648"/>
      </w:pPr>
    </w:lvl>
    <w:lvl w:ilvl="4">
      <w:start w:val="1"/>
      <w:numFmt w:val="decimal"/>
      <w:lvlText w:val="%1.%2.%3.%4.%5."/>
      <w:lvlJc w:val="left"/>
      <w:pPr>
        <w:tabs>
          <w:tab w:val="num" w:pos="5400"/>
        </w:tabs>
        <w:ind w:left="2232" w:hanging="792"/>
      </w:pPr>
    </w:lvl>
    <w:lvl w:ilvl="5">
      <w:start w:val="1"/>
      <w:numFmt w:val="decimal"/>
      <w:lvlText w:val="%1.%2.%3.%4.%5.%6."/>
      <w:lvlJc w:val="left"/>
      <w:pPr>
        <w:tabs>
          <w:tab w:val="num" w:pos="6480"/>
        </w:tabs>
        <w:ind w:left="2736" w:hanging="936"/>
      </w:pPr>
    </w:lvl>
    <w:lvl w:ilvl="6">
      <w:start w:val="1"/>
      <w:numFmt w:val="decimal"/>
      <w:lvlText w:val="%1.%2.%3.%4.%5.%6.%7."/>
      <w:lvlJc w:val="left"/>
      <w:pPr>
        <w:tabs>
          <w:tab w:val="num" w:pos="7560"/>
        </w:tabs>
        <w:ind w:left="3240" w:hanging="1080"/>
      </w:pPr>
    </w:lvl>
    <w:lvl w:ilvl="7">
      <w:start w:val="1"/>
      <w:numFmt w:val="decimal"/>
      <w:lvlText w:val="%1.%2.%3.%4.%5.%6.%7.%8."/>
      <w:lvlJc w:val="left"/>
      <w:pPr>
        <w:tabs>
          <w:tab w:val="num" w:pos="9000"/>
        </w:tabs>
        <w:ind w:left="3744" w:hanging="1224"/>
      </w:pPr>
    </w:lvl>
    <w:lvl w:ilvl="8">
      <w:start w:val="1"/>
      <w:numFmt w:val="decimal"/>
      <w:lvlText w:val="%1.%2.%3.%4.%5.%6.%7.%8.%9."/>
      <w:lvlJc w:val="left"/>
      <w:pPr>
        <w:tabs>
          <w:tab w:val="num" w:pos="10080"/>
        </w:tabs>
        <w:ind w:left="4320" w:hanging="1440"/>
      </w:pPr>
    </w:lvl>
  </w:abstractNum>
  <w:abstractNum w:abstractNumId="33" w15:restartNumberingAfterBreak="0">
    <w:nsid w:val="51FD2FB2"/>
    <w:multiLevelType w:val="hybridMultilevel"/>
    <w:tmpl w:val="0C42C5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4143FD1"/>
    <w:multiLevelType w:val="hybridMultilevel"/>
    <w:tmpl w:val="4C00FFB6"/>
    <w:lvl w:ilvl="0" w:tplc="ACEECAFA">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35" w15:restartNumberingAfterBreak="0">
    <w:nsid w:val="549B1599"/>
    <w:multiLevelType w:val="hybridMultilevel"/>
    <w:tmpl w:val="6966CA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D4E4A4E"/>
    <w:multiLevelType w:val="hybridMultilevel"/>
    <w:tmpl w:val="3188763E"/>
    <w:lvl w:ilvl="0" w:tplc="D0E6B342">
      <w:start w:val="1"/>
      <w:numFmt w:val="bullet"/>
      <w:pStyle w:val="T8"/>
      <w:lvlText w:val=""/>
      <w:lvlJc w:val="left"/>
      <w:pPr>
        <w:tabs>
          <w:tab w:val="num" w:pos="2741"/>
        </w:tabs>
        <w:ind w:left="2741" w:hanging="360"/>
      </w:pPr>
      <w:rPr>
        <w:rFonts w:ascii="Wingdings" w:hAnsi="Wingdings" w:hint="default"/>
        <w:b w:val="0"/>
        <w:i w:val="0"/>
        <w:sz w:val="16"/>
      </w:rPr>
    </w:lvl>
    <w:lvl w:ilvl="1" w:tplc="7F401D60" w:tentative="1">
      <w:start w:val="1"/>
      <w:numFmt w:val="bullet"/>
      <w:pStyle w:val="Titre2"/>
      <w:lvlText w:val="o"/>
      <w:lvlJc w:val="left"/>
      <w:pPr>
        <w:tabs>
          <w:tab w:val="num" w:pos="1440"/>
        </w:tabs>
        <w:ind w:left="1440" w:hanging="360"/>
      </w:pPr>
      <w:rPr>
        <w:rFonts w:ascii="Courier New" w:hAnsi="Courier New" w:hint="default"/>
      </w:rPr>
    </w:lvl>
    <w:lvl w:ilvl="2" w:tplc="4E4652D2" w:tentative="1">
      <w:start w:val="1"/>
      <w:numFmt w:val="bullet"/>
      <w:pStyle w:val="Titre3"/>
      <w:lvlText w:val=""/>
      <w:lvlJc w:val="left"/>
      <w:pPr>
        <w:tabs>
          <w:tab w:val="num" w:pos="2160"/>
        </w:tabs>
        <w:ind w:left="2160" w:hanging="360"/>
      </w:pPr>
      <w:rPr>
        <w:rFonts w:ascii="Wingdings" w:hAnsi="Wingdings" w:hint="default"/>
      </w:rPr>
    </w:lvl>
    <w:lvl w:ilvl="3" w:tplc="9A94B830" w:tentative="1">
      <w:start w:val="1"/>
      <w:numFmt w:val="bullet"/>
      <w:lvlText w:val=""/>
      <w:lvlJc w:val="left"/>
      <w:pPr>
        <w:tabs>
          <w:tab w:val="num" w:pos="2880"/>
        </w:tabs>
        <w:ind w:left="2880" w:hanging="360"/>
      </w:pPr>
      <w:rPr>
        <w:rFonts w:ascii="Symbol" w:hAnsi="Symbol" w:hint="default"/>
      </w:rPr>
    </w:lvl>
    <w:lvl w:ilvl="4" w:tplc="91AA9F2A" w:tentative="1">
      <w:start w:val="1"/>
      <w:numFmt w:val="bullet"/>
      <w:lvlText w:val="o"/>
      <w:lvlJc w:val="left"/>
      <w:pPr>
        <w:tabs>
          <w:tab w:val="num" w:pos="3600"/>
        </w:tabs>
        <w:ind w:left="3600" w:hanging="360"/>
      </w:pPr>
      <w:rPr>
        <w:rFonts w:ascii="Courier New" w:hAnsi="Courier New" w:hint="default"/>
      </w:rPr>
    </w:lvl>
    <w:lvl w:ilvl="5" w:tplc="844CE61A" w:tentative="1">
      <w:start w:val="1"/>
      <w:numFmt w:val="bullet"/>
      <w:lvlText w:val=""/>
      <w:lvlJc w:val="left"/>
      <w:pPr>
        <w:tabs>
          <w:tab w:val="num" w:pos="4320"/>
        </w:tabs>
        <w:ind w:left="4320" w:hanging="360"/>
      </w:pPr>
      <w:rPr>
        <w:rFonts w:ascii="Wingdings" w:hAnsi="Wingdings" w:hint="default"/>
      </w:rPr>
    </w:lvl>
    <w:lvl w:ilvl="6" w:tplc="05E47504" w:tentative="1">
      <w:start w:val="1"/>
      <w:numFmt w:val="bullet"/>
      <w:lvlText w:val=""/>
      <w:lvlJc w:val="left"/>
      <w:pPr>
        <w:tabs>
          <w:tab w:val="num" w:pos="5040"/>
        </w:tabs>
        <w:ind w:left="5040" w:hanging="360"/>
      </w:pPr>
      <w:rPr>
        <w:rFonts w:ascii="Symbol" w:hAnsi="Symbol" w:hint="default"/>
      </w:rPr>
    </w:lvl>
    <w:lvl w:ilvl="7" w:tplc="87543830" w:tentative="1">
      <w:start w:val="1"/>
      <w:numFmt w:val="bullet"/>
      <w:lvlText w:val="o"/>
      <w:lvlJc w:val="left"/>
      <w:pPr>
        <w:tabs>
          <w:tab w:val="num" w:pos="5760"/>
        </w:tabs>
        <w:ind w:left="5760" w:hanging="360"/>
      </w:pPr>
      <w:rPr>
        <w:rFonts w:ascii="Courier New" w:hAnsi="Courier New" w:hint="default"/>
      </w:rPr>
    </w:lvl>
    <w:lvl w:ilvl="8" w:tplc="1BC25B7C"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F242D47"/>
    <w:multiLevelType w:val="hybridMultilevel"/>
    <w:tmpl w:val="ABC6372C"/>
    <w:lvl w:ilvl="0" w:tplc="1E9A6CC4">
      <w:start w:val="1"/>
      <w:numFmt w:val="bullet"/>
      <w:pStyle w:val="TIntroPartie"/>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19C64AA"/>
    <w:multiLevelType w:val="hybridMultilevel"/>
    <w:tmpl w:val="86FAB006"/>
    <w:lvl w:ilvl="0" w:tplc="05BE9858">
      <w:start w:val="1"/>
      <w:numFmt w:val="bullet"/>
      <w:lvlText w:val="•"/>
      <w:lvlJc w:val="left"/>
      <w:pPr>
        <w:tabs>
          <w:tab w:val="num" w:pos="1985"/>
        </w:tabs>
        <w:ind w:left="1985" w:hanging="284"/>
      </w:pPr>
      <w:rPr>
        <w:rFonts w:ascii="Times New Roman" w:hAnsi="Times New Roman" w:cs="Times New Roman" w:hint="default"/>
        <w:color w:val="auto"/>
        <w:sz w:val="20"/>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2EF3ED2"/>
    <w:multiLevelType w:val="hybridMultilevel"/>
    <w:tmpl w:val="6C28C7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4876B98"/>
    <w:multiLevelType w:val="multilevel"/>
    <w:tmpl w:val="040C0023"/>
    <w:styleLink w:val="ArticleSection"/>
    <w:lvl w:ilvl="0">
      <w:start w:val="1"/>
      <w:numFmt w:val="upperRoman"/>
      <w:pStyle w:val="Titre1"/>
      <w:lvlText w:val="Article %1."/>
      <w:lvlJc w:val="left"/>
      <w:pPr>
        <w:tabs>
          <w:tab w:val="num" w:pos="11880"/>
        </w:tabs>
        <w:ind w:left="0" w:firstLine="0"/>
      </w:pPr>
      <w:rPr>
        <w:dstrike w:val="0"/>
        <w:effect w:val="none"/>
      </w:rPr>
    </w:lvl>
    <w:lvl w:ilvl="1">
      <w:start w:val="1"/>
      <w:numFmt w:val="decimalZero"/>
      <w:isLgl/>
      <w:lvlText w:val="Section %1.%2"/>
      <w:lvlJc w:val="left"/>
      <w:pPr>
        <w:tabs>
          <w:tab w:val="num" w:pos="13680"/>
        </w:tabs>
        <w:ind w:left="0" w:firstLine="0"/>
      </w:pPr>
    </w:lvl>
    <w:lvl w:ilvl="2">
      <w:start w:val="1"/>
      <w:numFmt w:val="lowerLetter"/>
      <w:lvlText w:val="(%3)"/>
      <w:lvlJc w:val="left"/>
      <w:pPr>
        <w:tabs>
          <w:tab w:val="num" w:pos="3528"/>
        </w:tabs>
        <w:ind w:left="720" w:hanging="432"/>
      </w:pPr>
    </w:lvl>
    <w:lvl w:ilvl="3">
      <w:start w:val="1"/>
      <w:numFmt w:val="lowerRoman"/>
      <w:pStyle w:val="Titre4"/>
      <w:lvlText w:val="(%4)"/>
      <w:lvlJc w:val="right"/>
      <w:pPr>
        <w:tabs>
          <w:tab w:val="num" w:pos="864"/>
        </w:tabs>
        <w:ind w:left="864" w:hanging="144"/>
      </w:pPr>
    </w:lvl>
    <w:lvl w:ilvl="4">
      <w:start w:val="1"/>
      <w:numFmt w:val="decimal"/>
      <w:pStyle w:val="Titre5"/>
      <w:lvlText w:val="%5)"/>
      <w:lvlJc w:val="left"/>
      <w:pPr>
        <w:tabs>
          <w:tab w:val="num" w:pos="3096"/>
        </w:tabs>
        <w:ind w:left="1008" w:hanging="432"/>
      </w:pPr>
    </w:lvl>
    <w:lvl w:ilvl="5">
      <w:start w:val="1"/>
      <w:numFmt w:val="lowerLetter"/>
      <w:pStyle w:val="Titre6"/>
      <w:lvlText w:val="%6)"/>
      <w:lvlJc w:val="left"/>
      <w:pPr>
        <w:tabs>
          <w:tab w:val="num" w:pos="3240"/>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3528"/>
        </w:tabs>
        <w:ind w:left="1440" w:hanging="432"/>
      </w:pPr>
    </w:lvl>
    <w:lvl w:ilvl="8">
      <w:start w:val="1"/>
      <w:numFmt w:val="lowerRoman"/>
      <w:pStyle w:val="Titre9"/>
      <w:lvlText w:val="%9."/>
      <w:lvlJc w:val="right"/>
      <w:pPr>
        <w:tabs>
          <w:tab w:val="num" w:pos="1584"/>
        </w:tabs>
        <w:ind w:left="1584" w:hanging="144"/>
      </w:pPr>
    </w:lvl>
  </w:abstractNum>
  <w:abstractNum w:abstractNumId="41" w15:restartNumberingAfterBreak="0">
    <w:nsid w:val="64DE639D"/>
    <w:multiLevelType w:val="multilevel"/>
    <w:tmpl w:val="E7647F00"/>
    <w:lvl w:ilvl="0">
      <w:start w:val="1"/>
      <w:numFmt w:val="none"/>
      <w:pStyle w:val="TitreRubrique"/>
      <w:lvlText w:val="%1Titre : "/>
      <w:lvlJc w:val="left"/>
      <w:pPr>
        <w:tabs>
          <w:tab w:val="num" w:pos="2061"/>
        </w:tabs>
        <w:ind w:left="2061" w:hanging="360"/>
      </w:pPr>
      <w:rPr>
        <w:rFonts w:hint="default"/>
      </w:rPr>
    </w:lvl>
    <w:lvl w:ilvl="1">
      <w:start w:val="1"/>
      <w:numFmt w:val="lowerLetter"/>
      <w:lvlText w:val="%2)"/>
      <w:lvlJc w:val="left"/>
      <w:pPr>
        <w:tabs>
          <w:tab w:val="num" w:pos="2421"/>
        </w:tabs>
        <w:ind w:left="2421" w:hanging="360"/>
      </w:pPr>
      <w:rPr>
        <w:rFonts w:hint="default"/>
      </w:rPr>
    </w:lvl>
    <w:lvl w:ilvl="2">
      <w:start w:val="1"/>
      <w:numFmt w:val="lowerRoman"/>
      <w:lvlText w:val="%3)"/>
      <w:lvlJc w:val="left"/>
      <w:pPr>
        <w:tabs>
          <w:tab w:val="num" w:pos="2781"/>
        </w:tabs>
        <w:ind w:left="2781" w:hanging="360"/>
      </w:pPr>
      <w:rPr>
        <w:rFonts w:hint="default"/>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42" w15:restartNumberingAfterBreak="0">
    <w:nsid w:val="66DB3D3F"/>
    <w:multiLevelType w:val="multilevel"/>
    <w:tmpl w:val="040C001D"/>
    <w:styleLink w:val="1ai"/>
    <w:lvl w:ilvl="0">
      <w:start w:val="1"/>
      <w:numFmt w:val="decimal"/>
      <w:lvlText w:val="%1)"/>
      <w:lvlJc w:val="left"/>
      <w:pPr>
        <w:tabs>
          <w:tab w:val="num" w:pos="360"/>
        </w:tabs>
        <w:ind w:left="360" w:hanging="360"/>
      </w:pPr>
      <w:rPr>
        <w:dstrike w:val="0"/>
        <w:effect w:val="none"/>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82F12E5"/>
    <w:multiLevelType w:val="hybridMultilevel"/>
    <w:tmpl w:val="00B46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1EF3958"/>
    <w:multiLevelType w:val="hybridMultilevel"/>
    <w:tmpl w:val="651A0714"/>
    <w:lvl w:ilvl="0" w:tplc="7416FB44">
      <w:start w:val="1"/>
      <w:numFmt w:val="bullet"/>
      <w:pStyle w:val="TDevoir"/>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2A86891"/>
    <w:multiLevelType w:val="hybridMultilevel"/>
    <w:tmpl w:val="DD0EF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9D942C7"/>
    <w:multiLevelType w:val="multilevel"/>
    <w:tmpl w:val="91D89322"/>
    <w:lvl w:ilvl="0">
      <w:start w:val="1"/>
      <w:numFmt w:val="none"/>
      <w:pStyle w:val="TAnote"/>
      <w:suff w:val="space"/>
      <w:lvlText w:val="Note de tableau : "/>
      <w:lvlJc w:val="left"/>
      <w:pPr>
        <w:ind w:left="284" w:firstLine="0"/>
      </w:pPr>
      <w:rPr>
        <w:rFonts w:hint="default"/>
      </w:rPr>
    </w:lvl>
    <w:lvl w:ilvl="1">
      <w:start w:val="1"/>
      <w:numFmt w:val="none"/>
      <w:suff w:val="nothing"/>
      <w:lvlText w:val=""/>
      <w:lvlJc w:val="left"/>
      <w:pPr>
        <w:ind w:left="1135" w:firstLine="0"/>
      </w:pPr>
      <w:rPr>
        <w:rFonts w:hint="default"/>
      </w:rPr>
    </w:lvl>
    <w:lvl w:ilvl="2">
      <w:start w:val="1"/>
      <w:numFmt w:val="none"/>
      <w:suff w:val="nothing"/>
      <w:lvlText w:val=""/>
      <w:lvlJc w:val="left"/>
      <w:pPr>
        <w:ind w:left="1135" w:firstLine="0"/>
      </w:pPr>
      <w:rPr>
        <w:rFonts w:hint="default"/>
      </w:rPr>
    </w:lvl>
    <w:lvl w:ilvl="3">
      <w:start w:val="1"/>
      <w:numFmt w:val="none"/>
      <w:suff w:val="nothing"/>
      <w:lvlText w:val=""/>
      <w:lvlJc w:val="left"/>
      <w:pPr>
        <w:ind w:left="1135" w:firstLine="0"/>
      </w:pPr>
      <w:rPr>
        <w:rFonts w:hint="default"/>
      </w:rPr>
    </w:lvl>
    <w:lvl w:ilvl="4">
      <w:start w:val="1"/>
      <w:numFmt w:val="none"/>
      <w:suff w:val="nothing"/>
      <w:lvlText w:val=""/>
      <w:lvlJc w:val="left"/>
      <w:pPr>
        <w:ind w:left="1135" w:firstLine="0"/>
      </w:pPr>
      <w:rPr>
        <w:rFonts w:hint="default"/>
      </w:rPr>
    </w:lvl>
    <w:lvl w:ilvl="5">
      <w:start w:val="1"/>
      <w:numFmt w:val="none"/>
      <w:suff w:val="nothing"/>
      <w:lvlText w:val=""/>
      <w:lvlJc w:val="left"/>
      <w:pPr>
        <w:ind w:left="1135" w:firstLine="0"/>
      </w:pPr>
      <w:rPr>
        <w:rFonts w:hint="default"/>
      </w:rPr>
    </w:lvl>
    <w:lvl w:ilvl="6">
      <w:start w:val="1"/>
      <w:numFmt w:val="none"/>
      <w:suff w:val="nothing"/>
      <w:lvlText w:val=""/>
      <w:lvlJc w:val="left"/>
      <w:pPr>
        <w:ind w:left="1135" w:firstLine="0"/>
      </w:pPr>
      <w:rPr>
        <w:rFonts w:hint="default"/>
      </w:rPr>
    </w:lvl>
    <w:lvl w:ilvl="7">
      <w:start w:val="1"/>
      <w:numFmt w:val="none"/>
      <w:suff w:val="nothing"/>
      <w:lvlText w:val=""/>
      <w:lvlJc w:val="left"/>
      <w:pPr>
        <w:ind w:left="1135" w:firstLine="0"/>
      </w:pPr>
      <w:rPr>
        <w:rFonts w:hint="default"/>
      </w:rPr>
    </w:lvl>
    <w:lvl w:ilvl="8">
      <w:start w:val="1"/>
      <w:numFmt w:val="none"/>
      <w:suff w:val="nothing"/>
      <w:lvlText w:val=""/>
      <w:lvlJc w:val="left"/>
      <w:pPr>
        <w:ind w:left="1135" w:firstLine="0"/>
      </w:pPr>
      <w:rPr>
        <w:rFonts w:hint="default"/>
      </w:rPr>
    </w:lvl>
  </w:abstractNum>
  <w:abstractNum w:abstractNumId="47" w15:restartNumberingAfterBreak="0">
    <w:nsid w:val="7E251B5A"/>
    <w:multiLevelType w:val="hybridMultilevel"/>
    <w:tmpl w:val="DEFE76D6"/>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num w:numId="1" w16cid:durableId="810102127">
    <w:abstractNumId w:val="36"/>
  </w:num>
  <w:num w:numId="2" w16cid:durableId="398015961">
    <w:abstractNumId w:val="29"/>
  </w:num>
  <w:num w:numId="3" w16cid:durableId="1304000243">
    <w:abstractNumId w:val="38"/>
  </w:num>
  <w:num w:numId="4" w16cid:durableId="1471554319">
    <w:abstractNumId w:val="40"/>
  </w:num>
  <w:num w:numId="5" w16cid:durableId="2102949852">
    <w:abstractNumId w:val="19"/>
  </w:num>
  <w:num w:numId="6" w16cid:durableId="1178931126">
    <w:abstractNumId w:val="21"/>
  </w:num>
  <w:num w:numId="7" w16cid:durableId="1049379816">
    <w:abstractNumId w:val="46"/>
  </w:num>
  <w:num w:numId="8" w16cid:durableId="805464767">
    <w:abstractNumId w:val="44"/>
  </w:num>
  <w:num w:numId="9" w16cid:durableId="1026712346">
    <w:abstractNumId w:val="32"/>
  </w:num>
  <w:num w:numId="10" w16cid:durableId="990601163">
    <w:abstractNumId w:val="42"/>
  </w:num>
  <w:num w:numId="11" w16cid:durableId="730037150">
    <w:abstractNumId w:val="8"/>
  </w:num>
  <w:num w:numId="12" w16cid:durableId="53740344">
    <w:abstractNumId w:val="3"/>
  </w:num>
  <w:num w:numId="13" w16cid:durableId="184755191">
    <w:abstractNumId w:val="2"/>
  </w:num>
  <w:num w:numId="14" w16cid:durableId="1576741935">
    <w:abstractNumId w:val="1"/>
  </w:num>
  <w:num w:numId="15" w16cid:durableId="722488927">
    <w:abstractNumId w:val="0"/>
  </w:num>
  <w:num w:numId="16" w16cid:durableId="929193385">
    <w:abstractNumId w:val="9"/>
  </w:num>
  <w:num w:numId="17" w16cid:durableId="557790850">
    <w:abstractNumId w:val="7"/>
  </w:num>
  <w:num w:numId="18" w16cid:durableId="1609505656">
    <w:abstractNumId w:val="6"/>
  </w:num>
  <w:num w:numId="19" w16cid:durableId="1960526721">
    <w:abstractNumId w:val="5"/>
  </w:num>
  <w:num w:numId="20" w16cid:durableId="1826124463">
    <w:abstractNumId w:val="4"/>
  </w:num>
  <w:num w:numId="21" w16cid:durableId="1481994537">
    <w:abstractNumId w:val="20"/>
  </w:num>
  <w:num w:numId="22" w16cid:durableId="1068455270">
    <w:abstractNumId w:val="37"/>
  </w:num>
  <w:num w:numId="23" w16cid:durableId="152531845">
    <w:abstractNumId w:val="41"/>
  </w:num>
  <w:num w:numId="24" w16cid:durableId="2141263581">
    <w:abstractNumId w:val="18"/>
  </w:num>
  <w:num w:numId="25" w16cid:durableId="2032339567">
    <w:abstractNumId w:val="23"/>
  </w:num>
  <w:num w:numId="26" w16cid:durableId="1902447624">
    <w:abstractNumId w:val="16"/>
  </w:num>
  <w:num w:numId="27" w16cid:durableId="1623463672">
    <w:abstractNumId w:val="12"/>
  </w:num>
  <w:num w:numId="28" w16cid:durableId="649946526">
    <w:abstractNumId w:val="28"/>
  </w:num>
  <w:num w:numId="29" w16cid:durableId="1293709009">
    <w:abstractNumId w:val="27"/>
  </w:num>
  <w:num w:numId="30" w16cid:durableId="724641177">
    <w:abstractNumId w:val="22"/>
  </w:num>
  <w:num w:numId="31" w16cid:durableId="2135051706">
    <w:abstractNumId w:val="25"/>
  </w:num>
  <w:num w:numId="32" w16cid:durableId="816606220">
    <w:abstractNumId w:val="14"/>
  </w:num>
  <w:num w:numId="33" w16cid:durableId="654457847">
    <w:abstractNumId w:val="15"/>
  </w:num>
  <w:num w:numId="34" w16cid:durableId="1657882676">
    <w:abstractNumId w:val="30"/>
  </w:num>
  <w:num w:numId="35" w16cid:durableId="1140225913">
    <w:abstractNumId w:val="26"/>
  </w:num>
  <w:num w:numId="36" w16cid:durableId="1651590764">
    <w:abstractNumId w:val="31"/>
  </w:num>
  <w:num w:numId="37" w16cid:durableId="1864972086">
    <w:abstractNumId w:val="10"/>
  </w:num>
  <w:num w:numId="38" w16cid:durableId="813833195">
    <w:abstractNumId w:val="11"/>
  </w:num>
  <w:num w:numId="39" w16cid:durableId="193613424">
    <w:abstractNumId w:val="34"/>
  </w:num>
  <w:num w:numId="40" w16cid:durableId="511915276">
    <w:abstractNumId w:val="17"/>
  </w:num>
  <w:num w:numId="41" w16cid:durableId="1157070464">
    <w:abstractNumId w:val="13"/>
  </w:num>
  <w:num w:numId="42" w16cid:durableId="322514614">
    <w:abstractNumId w:val="47"/>
  </w:num>
  <w:num w:numId="43" w16cid:durableId="1725829973">
    <w:abstractNumId w:val="33"/>
  </w:num>
  <w:num w:numId="44" w16cid:durableId="834880243">
    <w:abstractNumId w:val="45"/>
  </w:num>
  <w:num w:numId="45" w16cid:durableId="1687557295">
    <w:abstractNumId w:val="39"/>
  </w:num>
  <w:num w:numId="46" w16cid:durableId="1432968888">
    <w:abstractNumId w:val="35"/>
  </w:num>
  <w:num w:numId="47" w16cid:durableId="1239362690">
    <w:abstractNumId w:val="43"/>
  </w:num>
  <w:num w:numId="48" w16cid:durableId="193096688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defaultTabStop w:val="708"/>
  <w:hyphenationZone w:val="420"/>
  <w:characterSpacingControl w:val="doNotCompress"/>
  <w:doNotValidateAgainstSchema/>
  <w:doNotDemarcateInvalidXml/>
  <w:footnotePr>
    <w:footnote w:id="-1"/>
    <w:footnote w:id="0"/>
  </w:footnotePr>
  <w:endnotePr>
    <w:endnote w:id="-1"/>
    <w:endnote w:id="0"/>
  </w:endnotePr>
  <w:compat>
    <w:doNotSnapToGridInCell/>
    <w:selectFldWithFirstOrLastChar/>
    <w:doNotWrapTextWithPunct/>
    <w:doNotUseEastAsianBreakRules/>
    <w:useWord2002TableStyleRules/>
    <w:growAutofit/>
    <w:compatSetting w:name="compatibilityMode" w:uri="http://schemas.microsoft.com/office/word" w:val="14"/>
    <w:compatSetting w:name="useWord2013TrackBottomHyphenation" w:uri="http://schemas.microsoft.com/office/word" w:val="1"/>
  </w:compat>
  <w:rsids>
    <w:rsidRoot w:val="00F42774"/>
    <w:rsid w:val="00362F64"/>
    <w:rsid w:val="005D07A6"/>
    <w:rsid w:val="00F4277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attachedSchema w:val="http://www.w3.org/TR/2001/REC-MathML2-20010221"/>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81F924"/>
  <w15:docId w15:val="{DDBFA482-D69D-415C-9237-283065AED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2774"/>
    <w:rPr>
      <w:sz w:val="24"/>
      <w:szCs w:val="24"/>
    </w:rPr>
  </w:style>
  <w:style w:type="paragraph" w:styleId="Titre1">
    <w:name w:val="heading 1"/>
    <w:aliases w:val="t1"/>
    <w:next w:val="Normal"/>
    <w:link w:val="Titre1Car"/>
    <w:qFormat/>
    <w:rsid w:val="00F42774"/>
    <w:pPr>
      <w:keepNext/>
      <w:keepLines/>
      <w:numPr>
        <w:numId w:val="4"/>
      </w:numPr>
      <w:tabs>
        <w:tab w:val="clear" w:pos="11880"/>
        <w:tab w:val="left" w:pos="680"/>
      </w:tabs>
      <w:spacing w:before="1000" w:line="260" w:lineRule="atLeast"/>
      <w:outlineLvl w:val="0"/>
    </w:pPr>
    <w:rPr>
      <w:b/>
      <w:caps/>
      <w:sz w:val="26"/>
    </w:rPr>
  </w:style>
  <w:style w:type="paragraph" w:styleId="Titre2">
    <w:name w:val="heading 2"/>
    <w:basedOn w:val="Normal"/>
    <w:next w:val="Normal"/>
    <w:link w:val="Titre2Car"/>
    <w:qFormat/>
    <w:rsid w:val="00F42774"/>
    <w:pPr>
      <w:keepNext/>
      <w:numPr>
        <w:ilvl w:val="1"/>
        <w:numId w:val="1"/>
      </w:numPr>
      <w:tabs>
        <w:tab w:val="clear" w:pos="1440"/>
      </w:tabs>
      <w:spacing w:before="240" w:after="60"/>
      <w:ind w:left="0" w:firstLine="0"/>
      <w:outlineLvl w:val="1"/>
    </w:pPr>
    <w:rPr>
      <w:rFonts w:ascii="Arial" w:hAnsi="Arial" w:cs="Arial"/>
      <w:b/>
      <w:bCs/>
      <w:i/>
      <w:iCs/>
      <w:sz w:val="28"/>
      <w:szCs w:val="28"/>
    </w:rPr>
  </w:style>
  <w:style w:type="paragraph" w:styleId="Titre3">
    <w:name w:val="heading 3"/>
    <w:basedOn w:val="Normal"/>
    <w:next w:val="Normal"/>
    <w:link w:val="Titre3Car"/>
    <w:qFormat/>
    <w:rsid w:val="00F42774"/>
    <w:pPr>
      <w:keepNext/>
      <w:numPr>
        <w:ilvl w:val="2"/>
        <w:numId w:val="1"/>
      </w:numPr>
      <w:tabs>
        <w:tab w:val="clear" w:pos="2160"/>
      </w:tabs>
      <w:spacing w:before="240" w:after="60"/>
      <w:ind w:left="720" w:hanging="432"/>
      <w:outlineLvl w:val="2"/>
    </w:pPr>
    <w:rPr>
      <w:rFonts w:ascii="Arial" w:hAnsi="Arial" w:cs="Arial"/>
      <w:b/>
      <w:bCs/>
      <w:sz w:val="26"/>
      <w:szCs w:val="26"/>
    </w:rPr>
  </w:style>
  <w:style w:type="paragraph" w:styleId="Titre4">
    <w:name w:val="heading 4"/>
    <w:basedOn w:val="Normal"/>
    <w:next w:val="Normal"/>
    <w:link w:val="Titre4Car"/>
    <w:qFormat/>
    <w:rsid w:val="00F42774"/>
    <w:pPr>
      <w:keepNext/>
      <w:numPr>
        <w:ilvl w:val="3"/>
        <w:numId w:val="4"/>
      </w:numPr>
      <w:tabs>
        <w:tab w:val="clear" w:pos="864"/>
      </w:tabs>
      <w:spacing w:before="240" w:after="60"/>
      <w:outlineLvl w:val="3"/>
    </w:pPr>
    <w:rPr>
      <w:b/>
      <w:sz w:val="28"/>
      <w:szCs w:val="28"/>
    </w:rPr>
  </w:style>
  <w:style w:type="paragraph" w:styleId="Titre5">
    <w:name w:val="heading 5"/>
    <w:basedOn w:val="Normal"/>
    <w:next w:val="Normal"/>
    <w:link w:val="Titre5Car"/>
    <w:qFormat/>
    <w:rsid w:val="00F42774"/>
    <w:pPr>
      <w:numPr>
        <w:ilvl w:val="4"/>
        <w:numId w:val="4"/>
      </w:numPr>
      <w:tabs>
        <w:tab w:val="clear" w:pos="3096"/>
      </w:tabs>
      <w:spacing w:before="240" w:after="60"/>
      <w:outlineLvl w:val="4"/>
    </w:pPr>
    <w:rPr>
      <w:b/>
      <w:i/>
      <w:sz w:val="26"/>
      <w:szCs w:val="26"/>
    </w:rPr>
  </w:style>
  <w:style w:type="paragraph" w:styleId="Titre6">
    <w:name w:val="heading 6"/>
    <w:basedOn w:val="Normal"/>
    <w:next w:val="Normal"/>
    <w:link w:val="Titre6Car"/>
    <w:qFormat/>
    <w:rsid w:val="00F42774"/>
    <w:pPr>
      <w:numPr>
        <w:ilvl w:val="5"/>
        <w:numId w:val="4"/>
      </w:numPr>
      <w:tabs>
        <w:tab w:val="clear" w:pos="3240"/>
      </w:tabs>
      <w:spacing w:before="240" w:after="60"/>
      <w:outlineLvl w:val="5"/>
    </w:pPr>
    <w:rPr>
      <w:b/>
      <w:sz w:val="22"/>
      <w:szCs w:val="22"/>
    </w:rPr>
  </w:style>
  <w:style w:type="paragraph" w:styleId="Titre7">
    <w:name w:val="heading 7"/>
    <w:basedOn w:val="Normal"/>
    <w:next w:val="Normal"/>
    <w:link w:val="Titre7Car"/>
    <w:qFormat/>
    <w:rsid w:val="00F42774"/>
    <w:pPr>
      <w:keepLines/>
      <w:numPr>
        <w:ilvl w:val="6"/>
        <w:numId w:val="4"/>
      </w:numPr>
      <w:tabs>
        <w:tab w:val="clear" w:pos="1296"/>
        <w:tab w:val="left" w:pos="1151"/>
      </w:tabs>
      <w:spacing w:before="240" w:line="260" w:lineRule="atLeast"/>
      <w:jc w:val="both"/>
      <w:outlineLvl w:val="6"/>
    </w:pPr>
    <w:rPr>
      <w:rFonts w:eastAsia="Times"/>
      <w:b/>
      <w:sz w:val="22"/>
      <w:szCs w:val="20"/>
    </w:rPr>
  </w:style>
  <w:style w:type="paragraph" w:styleId="Titre8">
    <w:name w:val="heading 8"/>
    <w:basedOn w:val="Normal"/>
    <w:next w:val="Normal"/>
    <w:link w:val="Titre8Car"/>
    <w:qFormat/>
    <w:rsid w:val="00F42774"/>
    <w:pPr>
      <w:keepLines/>
      <w:numPr>
        <w:ilvl w:val="7"/>
        <w:numId w:val="4"/>
      </w:numPr>
      <w:tabs>
        <w:tab w:val="clear" w:pos="3528"/>
      </w:tabs>
      <w:spacing w:before="240" w:after="60" w:line="260" w:lineRule="atLeast"/>
      <w:jc w:val="both"/>
      <w:outlineLvl w:val="7"/>
    </w:pPr>
    <w:rPr>
      <w:rFonts w:ascii="Helvetica" w:eastAsia="Times" w:hAnsi="Helvetica"/>
      <w:i/>
      <w:sz w:val="20"/>
      <w:szCs w:val="20"/>
    </w:rPr>
  </w:style>
  <w:style w:type="paragraph" w:styleId="Titre9">
    <w:name w:val="heading 9"/>
    <w:basedOn w:val="Normal"/>
    <w:next w:val="Normal"/>
    <w:link w:val="Titre9Car"/>
    <w:qFormat/>
    <w:rsid w:val="00F42774"/>
    <w:pPr>
      <w:keepLines/>
      <w:numPr>
        <w:ilvl w:val="8"/>
        <w:numId w:val="4"/>
      </w:numPr>
      <w:tabs>
        <w:tab w:val="clear" w:pos="1584"/>
      </w:tabs>
      <w:spacing w:before="240" w:after="60" w:line="260" w:lineRule="atLeast"/>
      <w:jc w:val="both"/>
      <w:outlineLvl w:val="8"/>
    </w:pPr>
    <w:rPr>
      <w:rFonts w:ascii="Helvetica" w:eastAsia="Times" w:hAnsi="Helvetica"/>
      <w:b/>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UE-Intitule">
    <w:name w:val="UE-Intitule"/>
    <w:rsid w:val="00F42774"/>
    <w:pPr>
      <w:numPr>
        <w:ilvl w:val="6"/>
        <w:numId w:val="27"/>
      </w:numPr>
    </w:pPr>
    <w:rPr>
      <w:rFonts w:ascii="Helvetica" w:hAnsi="Helvetica"/>
      <w:b/>
      <w:smallCaps/>
      <w:sz w:val="52"/>
      <w:szCs w:val="24"/>
    </w:rPr>
  </w:style>
  <w:style w:type="paragraph" w:customStyle="1" w:styleId="UE-Code">
    <w:name w:val="UE-Code"/>
    <w:basedOn w:val="UE-Intitule"/>
    <w:next w:val="UE-CodeCNED"/>
    <w:rsid w:val="00F42774"/>
    <w:pPr>
      <w:numPr>
        <w:ilvl w:val="0"/>
      </w:numPr>
    </w:pPr>
    <w:rPr>
      <w:sz w:val="36"/>
      <w14:shadow w14:blurRad="50800" w14:dist="38100" w14:dir="2700000" w14:sx="100000" w14:sy="100000" w14:kx="0" w14:ky="0" w14:algn="tl">
        <w14:srgbClr w14:val="000000">
          <w14:alpha w14:val="60000"/>
        </w14:srgbClr>
      </w14:shadow>
    </w:rPr>
  </w:style>
  <w:style w:type="paragraph" w:customStyle="1" w:styleId="UE-Annee">
    <w:name w:val="UE-Annee"/>
    <w:basedOn w:val="UE-CodeCNED"/>
    <w:rsid w:val="00F42774"/>
    <w:pPr>
      <w:numPr>
        <w:ilvl w:val="4"/>
      </w:numPr>
    </w:pPr>
    <w:rPr>
      <w14:shadow w14:blurRad="50800" w14:dist="38100" w14:dir="2700000" w14:sx="100000" w14:sy="100000" w14:kx="0" w14:ky="0" w14:algn="tl">
        <w14:srgbClr w14:val="000000">
          <w14:alpha w14:val="60000"/>
        </w14:srgbClr>
      </w14:shadow>
    </w:rPr>
  </w:style>
  <w:style w:type="paragraph" w:customStyle="1" w:styleId="UE-Type">
    <w:name w:val="UE-Type"/>
    <w:basedOn w:val="UE-CodeCNED"/>
    <w:rsid w:val="00F42774"/>
    <w:pPr>
      <w:numPr>
        <w:ilvl w:val="5"/>
      </w:numPr>
    </w:pPr>
    <w:rPr>
      <w14:shadow w14:blurRad="50800" w14:dist="38100" w14:dir="2700000" w14:sx="100000" w14:sy="100000" w14:kx="0" w14:ky="0" w14:algn="tl">
        <w14:srgbClr w14:val="000000">
          <w14:alpha w14:val="60000"/>
        </w14:srgbClr>
      </w14:shadow>
    </w:rPr>
  </w:style>
  <w:style w:type="paragraph" w:customStyle="1" w:styleId="TSnum">
    <w:name w:val="TSnum"/>
    <w:next w:val="TS"/>
    <w:rsid w:val="00F42774"/>
    <w:pPr>
      <w:numPr>
        <w:ilvl w:val="7"/>
        <w:numId w:val="26"/>
      </w:numPr>
      <w:spacing w:after="200"/>
      <w:ind w:left="1440"/>
    </w:pPr>
    <w:rPr>
      <w:rFonts w:ascii="Helvetica" w:hAnsi="Helvetica"/>
      <w:b/>
      <w:smallCaps/>
      <w:sz w:val="36"/>
      <w:szCs w:val="24"/>
    </w:rPr>
  </w:style>
  <w:style w:type="paragraph" w:customStyle="1" w:styleId="SerieTitre">
    <w:name w:val="Serie_Titre"/>
    <w:rsid w:val="00F42774"/>
    <w:pPr>
      <w:numPr>
        <w:ilvl w:val="8"/>
        <w:numId w:val="27"/>
      </w:numPr>
    </w:pPr>
    <w:rPr>
      <w:rFonts w:ascii="Helvetica" w:hAnsi="Helvetica"/>
      <w:b/>
      <w:smallCaps/>
      <w:sz w:val="36"/>
      <w:szCs w:val="24"/>
    </w:rPr>
  </w:style>
  <w:style w:type="paragraph" w:customStyle="1" w:styleId="debutfilet">
    <w:name w:val="debut_filet"/>
    <w:basedOn w:val="CT"/>
    <w:next w:val="CT"/>
    <w:rsid w:val="00F42774"/>
    <w:pPr>
      <w:pBdr>
        <w:top w:val="single" w:sz="18" w:space="1" w:color="808080"/>
        <w:left w:val="single" w:sz="18" w:space="4" w:color="808080"/>
      </w:pBdr>
    </w:pPr>
    <w:rPr>
      <w:rFonts w:ascii="Arial" w:hAnsi="Arial"/>
      <w:szCs w:val="20"/>
    </w:rPr>
  </w:style>
  <w:style w:type="paragraph" w:customStyle="1" w:styleId="CT">
    <w:name w:val="CT"/>
    <w:rsid w:val="00F42774"/>
    <w:pPr>
      <w:spacing w:line="240" w:lineRule="atLeast"/>
      <w:ind w:left="1701"/>
      <w:jc w:val="both"/>
    </w:pPr>
    <w:rPr>
      <w:rFonts w:ascii="Helvetica" w:hAnsi="Helvetica"/>
      <w:szCs w:val="24"/>
    </w:rPr>
  </w:style>
  <w:style w:type="paragraph" w:customStyle="1" w:styleId="finfilet">
    <w:name w:val="fin_filet"/>
    <w:basedOn w:val="CT"/>
    <w:next w:val="CT"/>
    <w:rsid w:val="00F42774"/>
    <w:pPr>
      <w:pBdr>
        <w:left w:val="single" w:sz="18" w:space="4" w:color="808080"/>
        <w:bottom w:val="single" w:sz="18" w:space="1" w:color="808080"/>
      </w:pBdr>
    </w:pPr>
    <w:rPr>
      <w:rFonts w:ascii="Arial" w:hAnsi="Arial"/>
    </w:rPr>
  </w:style>
  <w:style w:type="paragraph" w:customStyle="1" w:styleId="TitreRubrique">
    <w:name w:val="Titre_Rubrique"/>
    <w:basedOn w:val="CT"/>
    <w:next w:val="CT"/>
    <w:rsid w:val="00F42774"/>
    <w:pPr>
      <w:numPr>
        <w:numId w:val="23"/>
      </w:numPr>
    </w:pPr>
    <w:rPr>
      <w:b/>
    </w:rPr>
  </w:style>
  <w:style w:type="paragraph" w:customStyle="1" w:styleId="TitrePresentation">
    <w:name w:val="Titre_Presentation"/>
    <w:basedOn w:val="T1"/>
    <w:rsid w:val="00F42774"/>
  </w:style>
  <w:style w:type="paragraph" w:customStyle="1" w:styleId="T4">
    <w:name w:val="T4"/>
    <w:basedOn w:val="CT"/>
    <w:next w:val="CT6"/>
    <w:rsid w:val="00F42774"/>
    <w:pPr>
      <w:spacing w:before="240" w:after="120"/>
      <w:ind w:left="1344"/>
      <w:jc w:val="left"/>
      <w:outlineLvl w:val="3"/>
    </w:pPr>
    <w:rPr>
      <w:b/>
      <w:smallCaps/>
      <w:sz w:val="26"/>
    </w:rPr>
  </w:style>
  <w:style w:type="paragraph" w:customStyle="1" w:styleId="CTEspDessous">
    <w:name w:val="CT_Esp_Dessous"/>
    <w:basedOn w:val="CT"/>
    <w:qFormat/>
    <w:rsid w:val="00F42774"/>
    <w:pPr>
      <w:spacing w:after="120"/>
    </w:pPr>
  </w:style>
  <w:style w:type="paragraph" w:customStyle="1" w:styleId="ET">
    <w:name w:val="ET"/>
    <w:basedOn w:val="CT"/>
    <w:next w:val="CT"/>
    <w:rsid w:val="00F42774"/>
    <w:pPr>
      <w:numPr>
        <w:numId w:val="32"/>
      </w:numPr>
    </w:pPr>
  </w:style>
  <w:style w:type="paragraph" w:customStyle="1" w:styleId="LibelleRubrique">
    <w:name w:val="Libelle_Rubrique"/>
    <w:basedOn w:val="CT"/>
    <w:next w:val="CT"/>
    <w:rsid w:val="00F42774"/>
    <w:pPr>
      <w:numPr>
        <w:numId w:val="33"/>
      </w:numPr>
      <w:ind w:left="1701"/>
    </w:pPr>
    <w:rPr>
      <w:b/>
    </w:rPr>
  </w:style>
  <w:style w:type="paragraph" w:customStyle="1" w:styleId="TNiv1">
    <w:name w:val="T_Niv1"/>
    <w:basedOn w:val="CT"/>
    <w:next w:val="CT"/>
    <w:rsid w:val="00F42774"/>
    <w:pPr>
      <w:numPr>
        <w:numId w:val="28"/>
      </w:numPr>
    </w:pPr>
    <w:rPr>
      <w:sz w:val="24"/>
      <w:szCs w:val="36"/>
    </w:rPr>
  </w:style>
  <w:style w:type="paragraph" w:customStyle="1" w:styleId="SEP">
    <w:name w:val="SEP"/>
    <w:basedOn w:val="CT"/>
    <w:next w:val="CT"/>
    <w:rsid w:val="00F42774"/>
    <w:pPr>
      <w:numPr>
        <w:ilvl w:val="1"/>
        <w:numId w:val="34"/>
      </w:numPr>
      <w:tabs>
        <w:tab w:val="clear" w:pos="1440"/>
        <w:tab w:val="num" w:pos="2155"/>
      </w:tabs>
    </w:pPr>
    <w:rPr>
      <w:color w:val="000000"/>
    </w:rPr>
  </w:style>
  <w:style w:type="paragraph" w:customStyle="1" w:styleId="debutfiletr">
    <w:name w:val="debut_filet_r"/>
    <w:basedOn w:val="debutfilet"/>
    <w:rsid w:val="00F42774"/>
    <w:pPr>
      <w:pBdr>
        <w:top w:val="single" w:sz="18" w:space="1" w:color="FF0000"/>
        <w:left w:val="single" w:sz="18" w:space="4" w:color="FF0000"/>
      </w:pBdr>
    </w:pPr>
    <w:rPr>
      <w:color w:val="FF0000"/>
    </w:rPr>
  </w:style>
  <w:style w:type="paragraph" w:customStyle="1" w:styleId="finfiletr">
    <w:name w:val="fin_filet_r"/>
    <w:basedOn w:val="finfilet"/>
    <w:next w:val="CT"/>
    <w:rsid w:val="00F42774"/>
    <w:pPr>
      <w:pBdr>
        <w:left w:val="single" w:sz="18" w:space="4" w:color="FF0000"/>
        <w:bottom w:val="single" w:sz="18" w:space="1" w:color="FF0000"/>
      </w:pBdr>
    </w:pPr>
    <w:rPr>
      <w:color w:val="FF0000"/>
    </w:rPr>
  </w:style>
  <w:style w:type="paragraph" w:customStyle="1" w:styleId="TAnnuelSerie">
    <w:name w:val="T_AnnuelSerie"/>
    <w:basedOn w:val="CT"/>
    <w:next w:val="TNiv1"/>
    <w:rsid w:val="00F42774"/>
    <w:pPr>
      <w:numPr>
        <w:numId w:val="5"/>
      </w:numPr>
      <w:jc w:val="right"/>
    </w:pPr>
    <w:rPr>
      <w:b/>
      <w:sz w:val="32"/>
      <w:szCs w:val="36"/>
    </w:rPr>
  </w:style>
  <w:style w:type="paragraph" w:customStyle="1" w:styleId="TNiv2">
    <w:name w:val="T_Niv2"/>
    <w:basedOn w:val="CT"/>
    <w:next w:val="CT"/>
    <w:rsid w:val="00F42774"/>
    <w:pPr>
      <w:numPr>
        <w:numId w:val="29"/>
      </w:numPr>
      <w:spacing w:before="60" w:after="60"/>
    </w:pPr>
    <w:rPr>
      <w:sz w:val="22"/>
      <w:szCs w:val="36"/>
    </w:rPr>
  </w:style>
  <w:style w:type="paragraph" w:customStyle="1" w:styleId="TNiv3">
    <w:name w:val="T_Niv3"/>
    <w:basedOn w:val="TNiv2"/>
    <w:next w:val="CT"/>
    <w:rsid w:val="00F42774"/>
    <w:pPr>
      <w:numPr>
        <w:numId w:val="30"/>
      </w:numPr>
      <w:spacing w:before="0" w:after="0"/>
    </w:pPr>
    <w:rPr>
      <w:sz w:val="20"/>
      <w:szCs w:val="28"/>
    </w:rPr>
  </w:style>
  <w:style w:type="paragraph" w:customStyle="1" w:styleId="TIntroPartie">
    <w:name w:val="T_IntroPartie"/>
    <w:next w:val="CT"/>
    <w:rsid w:val="00F42774"/>
    <w:pPr>
      <w:numPr>
        <w:numId w:val="22"/>
      </w:numPr>
      <w:jc w:val="right"/>
    </w:pPr>
    <w:rPr>
      <w:rFonts w:ascii="Helvetica" w:hAnsi="Helvetica"/>
      <w:b/>
      <w:sz w:val="32"/>
      <w:szCs w:val="24"/>
    </w:rPr>
  </w:style>
  <w:style w:type="paragraph" w:customStyle="1" w:styleId="T1">
    <w:name w:val="T1"/>
    <w:rsid w:val="00F42774"/>
    <w:pPr>
      <w:jc w:val="right"/>
      <w:outlineLvl w:val="0"/>
    </w:pPr>
    <w:rPr>
      <w:rFonts w:ascii="Helvetica" w:hAnsi="Helvetica"/>
      <w:b/>
      <w:sz w:val="36"/>
      <w:szCs w:val="24"/>
    </w:rPr>
  </w:style>
  <w:style w:type="paragraph" w:customStyle="1" w:styleId="T2">
    <w:name w:val="T2"/>
    <w:basedOn w:val="CT"/>
    <w:next w:val="CT12"/>
    <w:rsid w:val="00F42774"/>
    <w:pPr>
      <w:spacing w:before="560" w:after="240"/>
      <w:ind w:left="284"/>
      <w:jc w:val="left"/>
      <w:outlineLvl w:val="1"/>
    </w:pPr>
    <w:rPr>
      <w:b/>
      <w:smallCaps/>
      <w:sz w:val="36"/>
    </w:rPr>
  </w:style>
  <w:style w:type="paragraph" w:customStyle="1" w:styleId="T3">
    <w:name w:val="T3"/>
    <w:basedOn w:val="CT"/>
    <w:next w:val="CT12"/>
    <w:rsid w:val="00F42774"/>
    <w:pPr>
      <w:spacing w:before="320" w:after="240"/>
      <w:ind w:left="851"/>
      <w:jc w:val="left"/>
      <w:outlineLvl w:val="2"/>
    </w:pPr>
    <w:rPr>
      <w:b/>
      <w:smallCaps/>
      <w:sz w:val="28"/>
    </w:rPr>
  </w:style>
  <w:style w:type="paragraph" w:customStyle="1" w:styleId="TA1">
    <w:name w:val="TA1"/>
    <w:basedOn w:val="CT"/>
    <w:rsid w:val="00F42774"/>
    <w:pPr>
      <w:spacing w:line="220" w:lineRule="atLeast"/>
      <w:ind w:left="0"/>
    </w:pPr>
    <w:rPr>
      <w:sz w:val="18"/>
    </w:rPr>
  </w:style>
  <w:style w:type="paragraph" w:customStyle="1" w:styleId="TexteRenvoiExo">
    <w:name w:val="Texte_RenvoiExo"/>
    <w:basedOn w:val="CT"/>
    <w:rsid w:val="00F42774"/>
    <w:pPr>
      <w:jc w:val="right"/>
    </w:pPr>
    <w:rPr>
      <w:i/>
      <w:bdr w:val="single" w:sz="4" w:space="0" w:color="auto"/>
    </w:rPr>
  </w:style>
  <w:style w:type="paragraph" w:customStyle="1" w:styleId="SOUR">
    <w:name w:val="SOUR"/>
    <w:rsid w:val="00F42774"/>
    <w:pPr>
      <w:spacing w:line="260" w:lineRule="atLeast"/>
      <w:jc w:val="right"/>
    </w:pPr>
    <w:rPr>
      <w:rFonts w:ascii="Helvetica" w:hAnsi="Helvetica"/>
      <w:sz w:val="18"/>
      <w:szCs w:val="24"/>
    </w:rPr>
  </w:style>
  <w:style w:type="paragraph" w:customStyle="1" w:styleId="SEPS">
    <w:name w:val="SEPS"/>
    <w:basedOn w:val="SEP"/>
    <w:autoRedefine/>
    <w:rsid w:val="00F42774"/>
    <w:pPr>
      <w:numPr>
        <w:ilvl w:val="0"/>
        <w:numId w:val="0"/>
      </w:numPr>
      <w:ind w:left="2155"/>
    </w:pPr>
  </w:style>
  <w:style w:type="paragraph" w:customStyle="1" w:styleId="T5">
    <w:name w:val="T5"/>
    <w:basedOn w:val="CT"/>
    <w:next w:val="CT6"/>
    <w:rsid w:val="00F42774"/>
    <w:pPr>
      <w:spacing w:before="240"/>
      <w:jc w:val="left"/>
      <w:outlineLvl w:val="4"/>
    </w:pPr>
    <w:rPr>
      <w:b/>
      <w:smallCaps/>
      <w:sz w:val="22"/>
    </w:rPr>
  </w:style>
  <w:style w:type="paragraph" w:customStyle="1" w:styleId="Formule">
    <w:name w:val="Formule"/>
    <w:basedOn w:val="CT"/>
    <w:qFormat/>
    <w:rsid w:val="00F42774"/>
    <w:pPr>
      <w:shd w:val="clear" w:color="auto" w:fill="006400"/>
      <w:jc w:val="center"/>
    </w:pPr>
  </w:style>
  <w:style w:type="paragraph" w:customStyle="1" w:styleId="TA3">
    <w:name w:val="TA3"/>
    <w:basedOn w:val="CT"/>
    <w:next w:val="CT12"/>
    <w:rsid w:val="00F42774"/>
    <w:pPr>
      <w:spacing w:before="20" w:line="180" w:lineRule="atLeast"/>
    </w:pPr>
    <w:rPr>
      <w:sz w:val="14"/>
    </w:rPr>
  </w:style>
  <w:style w:type="paragraph" w:customStyle="1" w:styleId="ETS">
    <w:name w:val="ETS"/>
    <w:basedOn w:val="CT"/>
    <w:next w:val="CT"/>
    <w:rsid w:val="00F42774"/>
    <w:pPr>
      <w:ind w:left="1871"/>
    </w:pPr>
  </w:style>
  <w:style w:type="paragraph" w:customStyle="1" w:styleId="Tab-CT">
    <w:name w:val="Tab-CT"/>
    <w:basedOn w:val="CT"/>
    <w:qFormat/>
    <w:rsid w:val="00F42774"/>
    <w:pPr>
      <w:ind w:left="0"/>
    </w:pPr>
  </w:style>
  <w:style w:type="paragraph" w:customStyle="1" w:styleId="T6">
    <w:name w:val="T6"/>
    <w:basedOn w:val="CT"/>
    <w:next w:val="CT6"/>
    <w:rsid w:val="00F42774"/>
    <w:pPr>
      <w:spacing w:before="200"/>
      <w:ind w:left="2155"/>
      <w:jc w:val="left"/>
      <w:outlineLvl w:val="5"/>
    </w:pPr>
    <w:rPr>
      <w:b/>
      <w:sz w:val="22"/>
    </w:rPr>
  </w:style>
  <w:style w:type="paragraph" w:customStyle="1" w:styleId="TT">
    <w:name w:val="TT"/>
    <w:basedOn w:val="CT"/>
    <w:next w:val="TA1"/>
    <w:rsid w:val="00F42774"/>
    <w:pPr>
      <w:spacing w:before="240" w:after="120"/>
      <w:jc w:val="center"/>
    </w:pPr>
    <w:rPr>
      <w:b/>
      <w:smallCaps/>
    </w:rPr>
  </w:style>
  <w:style w:type="paragraph" w:customStyle="1" w:styleId="TRubriqueFin">
    <w:name w:val="T_RubriqueFin"/>
    <w:basedOn w:val="CT"/>
    <w:next w:val="CT"/>
    <w:rsid w:val="00F42774"/>
    <w:rPr>
      <w:b/>
      <w:sz w:val="32"/>
    </w:rPr>
  </w:style>
  <w:style w:type="paragraph" w:customStyle="1" w:styleId="Devoirmentioncorrection">
    <w:name w:val="Devoir_mention_correction"/>
    <w:basedOn w:val="Normal"/>
    <w:pPr>
      <w:spacing w:before="100" w:beforeAutospacing="1" w:after="100" w:afterAutospacing="1"/>
    </w:pPr>
  </w:style>
  <w:style w:type="paragraph" w:customStyle="1" w:styleId="TexteRenvoiSite">
    <w:name w:val="Texte_RenvoiSite"/>
    <w:basedOn w:val="CT"/>
    <w:next w:val="CT"/>
    <w:rsid w:val="00F42774"/>
    <w:pPr>
      <w:jc w:val="right"/>
    </w:pPr>
    <w:rPr>
      <w:i/>
      <w:bdr w:val="single" w:sz="4" w:space="0" w:color="auto"/>
    </w:rPr>
  </w:style>
  <w:style w:type="paragraph" w:customStyle="1" w:styleId="TexteEnonceQuestion">
    <w:name w:val="Texte_EnonceQuestion"/>
    <w:basedOn w:val="TexteTestQuestion"/>
    <w:next w:val="CT"/>
    <w:rsid w:val="00F42774"/>
    <w:pPr>
      <w:spacing w:before="120"/>
    </w:pPr>
  </w:style>
  <w:style w:type="paragraph" w:customStyle="1" w:styleId="TA4">
    <w:name w:val="TA4"/>
    <w:basedOn w:val="TA3"/>
    <w:rsid w:val="00F42774"/>
    <w:pPr>
      <w:spacing w:before="0"/>
      <w:ind w:left="0"/>
    </w:pPr>
  </w:style>
  <w:style w:type="paragraph" w:customStyle="1" w:styleId="TA2">
    <w:name w:val="TA2"/>
    <w:basedOn w:val="TA1"/>
    <w:rsid w:val="00F42774"/>
    <w:pPr>
      <w:ind w:left="851"/>
    </w:pPr>
  </w:style>
  <w:style w:type="paragraph" w:customStyle="1" w:styleId="TitreAnnexes">
    <w:name w:val="Titre_Annexes"/>
    <w:next w:val="CT"/>
    <w:rsid w:val="00F42774"/>
    <w:pPr>
      <w:spacing w:after="120"/>
      <w:ind w:left="1701"/>
    </w:pPr>
    <w:rPr>
      <w:rFonts w:ascii="Helvetica" w:hAnsi="Helvetica"/>
      <w:b/>
      <w:sz w:val="36"/>
      <w:szCs w:val="24"/>
    </w:rPr>
  </w:style>
  <w:style w:type="paragraph" w:customStyle="1" w:styleId="TDevoir">
    <w:name w:val="T_Devoir"/>
    <w:basedOn w:val="AncienT1"/>
    <w:next w:val="CT"/>
    <w:rsid w:val="00F42774"/>
    <w:pPr>
      <w:numPr>
        <w:numId w:val="8"/>
      </w:numPr>
    </w:pPr>
    <w:rPr>
      <w:caps/>
    </w:rPr>
  </w:style>
  <w:style w:type="paragraph" w:customStyle="1" w:styleId="NAU">
    <w:name w:val="NAU"/>
    <w:basedOn w:val="SOUR"/>
    <w:rsid w:val="00F42774"/>
    <w:pPr>
      <w:ind w:right="567"/>
    </w:pPr>
  </w:style>
  <w:style w:type="paragraph" w:customStyle="1" w:styleId="NbPoint">
    <w:name w:val="Nb_Point"/>
    <w:rsid w:val="00F42774"/>
    <w:pPr>
      <w:ind w:left="1701"/>
    </w:pPr>
    <w:rPr>
      <w:rFonts w:ascii="Helvetica" w:hAnsi="Helvetica"/>
      <w:color w:val="333399"/>
      <w:szCs w:val="24"/>
    </w:rPr>
  </w:style>
  <w:style w:type="character" w:customStyle="1" w:styleId="renvoi">
    <w:name w:val="renvoi"/>
    <w:basedOn w:val="Policepardfaut"/>
  </w:style>
  <w:style w:type="character" w:customStyle="1" w:styleId="TaAppelNote">
    <w:name w:val="Ta_AppelNote"/>
    <w:rsid w:val="00F42774"/>
    <w:rPr>
      <w:b/>
      <w:dstrike w:val="0"/>
      <w:color w:val="808080"/>
      <w:sz w:val="20"/>
      <w:effect w:val="none"/>
      <w:vertAlign w:val="baseline"/>
    </w:rPr>
  </w:style>
  <w:style w:type="character" w:customStyle="1" w:styleId="NEnonceQuestion">
    <w:name w:val="N_EnonceQuestion"/>
    <w:rsid w:val="00F42774"/>
    <w:rPr>
      <w:b/>
      <w:dstrike w:val="0"/>
      <w:color w:val="333399"/>
    </w:rPr>
  </w:style>
  <w:style w:type="character" w:customStyle="1" w:styleId="RefQuestion">
    <w:name w:val="Ref_Question"/>
    <w:basedOn w:val="NTestQuestion"/>
    <w:rsid w:val="00F42774"/>
    <w:rPr>
      <w:b/>
      <w:dstrike w:val="0"/>
      <w:color w:val="993366"/>
      <w:effect w:val="none"/>
      <w:vertAlign w:val="baseline"/>
    </w:rPr>
  </w:style>
  <w:style w:type="character" w:styleId="Lienhypertexte">
    <w:name w:val="Hyperlink"/>
    <w:rsid w:val="00F42774"/>
    <w:rPr>
      <w:dstrike w:val="0"/>
      <w:color w:val="0000FF"/>
      <w:u w:val="single"/>
      <w:effect w:val="none"/>
    </w:rPr>
  </w:style>
  <w:style w:type="character" w:styleId="Lienhypertextesuivivisit">
    <w:name w:val="FollowedHyperlink"/>
    <w:rsid w:val="00F42774"/>
    <w:rPr>
      <w:dstrike w:val="0"/>
      <w:color w:val="800080"/>
      <w:u w:val="single"/>
      <w:effect w:val="none"/>
    </w:rPr>
  </w:style>
  <w:style w:type="paragraph" w:styleId="Pieddepage">
    <w:name w:val="footer"/>
    <w:basedOn w:val="Normal"/>
    <w:link w:val="PieddepageCar"/>
    <w:rsid w:val="00F42774"/>
    <w:pPr>
      <w:tabs>
        <w:tab w:val="center" w:pos="4536"/>
        <w:tab w:val="right" w:pos="9072"/>
      </w:tabs>
    </w:pPr>
    <w:rPr>
      <w:color w:val="808080"/>
    </w:rPr>
  </w:style>
  <w:style w:type="character" w:customStyle="1" w:styleId="PieddepageCar">
    <w:name w:val="Pied de page Car"/>
    <w:basedOn w:val="Policepardfaut"/>
    <w:link w:val="Pieddepage"/>
    <w:rPr>
      <w:color w:val="808080"/>
      <w:sz w:val="24"/>
      <w:szCs w:val="24"/>
    </w:rPr>
  </w:style>
  <w:style w:type="character" w:customStyle="1" w:styleId="Titre1Car">
    <w:name w:val="Titre 1 Car"/>
    <w:aliases w:val="t1 Car"/>
    <w:basedOn w:val="Policepardfaut"/>
    <w:link w:val="Titre1"/>
    <w:rsid w:val="00F42774"/>
    <w:rPr>
      <w:b/>
      <w:caps/>
      <w:sz w:val="26"/>
    </w:rPr>
  </w:style>
  <w:style w:type="character" w:customStyle="1" w:styleId="Titre2Car">
    <w:name w:val="Titre 2 Car"/>
    <w:basedOn w:val="Policepardfaut"/>
    <w:link w:val="Titre2"/>
    <w:rsid w:val="00F42774"/>
    <w:rPr>
      <w:rFonts w:ascii="Arial" w:hAnsi="Arial" w:cs="Arial"/>
      <w:b/>
      <w:bCs/>
      <w:i/>
      <w:iCs/>
      <w:sz w:val="28"/>
      <w:szCs w:val="28"/>
    </w:rPr>
  </w:style>
  <w:style w:type="character" w:customStyle="1" w:styleId="Titre3Car">
    <w:name w:val="Titre 3 Car"/>
    <w:basedOn w:val="Policepardfaut"/>
    <w:link w:val="Titre3"/>
    <w:rsid w:val="00F42774"/>
    <w:rPr>
      <w:rFonts w:ascii="Arial" w:hAnsi="Arial" w:cs="Arial"/>
      <w:b/>
      <w:bCs/>
      <w:sz w:val="26"/>
      <w:szCs w:val="26"/>
    </w:rPr>
  </w:style>
  <w:style w:type="character" w:customStyle="1" w:styleId="Titre4Car">
    <w:name w:val="Titre 4 Car"/>
    <w:basedOn w:val="Policepardfaut"/>
    <w:link w:val="Titre4"/>
    <w:rsid w:val="00F42774"/>
    <w:rPr>
      <w:b/>
      <w:sz w:val="28"/>
      <w:szCs w:val="28"/>
    </w:rPr>
  </w:style>
  <w:style w:type="character" w:customStyle="1" w:styleId="Titre5Car">
    <w:name w:val="Titre 5 Car"/>
    <w:basedOn w:val="Policepardfaut"/>
    <w:link w:val="Titre5"/>
    <w:rsid w:val="00F42774"/>
    <w:rPr>
      <w:b/>
      <w:i/>
      <w:sz w:val="26"/>
      <w:szCs w:val="26"/>
    </w:rPr>
  </w:style>
  <w:style w:type="character" w:customStyle="1" w:styleId="Titre6Car">
    <w:name w:val="Titre 6 Car"/>
    <w:basedOn w:val="Policepardfaut"/>
    <w:link w:val="Titre6"/>
    <w:rsid w:val="00F42774"/>
    <w:rPr>
      <w:b/>
      <w:sz w:val="22"/>
      <w:szCs w:val="22"/>
    </w:rPr>
  </w:style>
  <w:style w:type="character" w:customStyle="1" w:styleId="Titre7Car">
    <w:name w:val="Titre 7 Car"/>
    <w:basedOn w:val="Policepardfaut"/>
    <w:link w:val="Titre7"/>
    <w:rsid w:val="00F42774"/>
    <w:rPr>
      <w:rFonts w:eastAsia="Times"/>
      <w:b/>
      <w:sz w:val="22"/>
    </w:rPr>
  </w:style>
  <w:style w:type="character" w:customStyle="1" w:styleId="Titre8Car">
    <w:name w:val="Titre 8 Car"/>
    <w:basedOn w:val="Policepardfaut"/>
    <w:link w:val="Titre8"/>
    <w:rsid w:val="00F42774"/>
    <w:rPr>
      <w:rFonts w:ascii="Helvetica" w:eastAsia="Times" w:hAnsi="Helvetica"/>
      <w:i/>
    </w:rPr>
  </w:style>
  <w:style w:type="character" w:customStyle="1" w:styleId="Titre9Car">
    <w:name w:val="Titre 9 Car"/>
    <w:basedOn w:val="Policepardfaut"/>
    <w:link w:val="Titre9"/>
    <w:rsid w:val="00F42774"/>
    <w:rPr>
      <w:rFonts w:ascii="Helvetica" w:eastAsia="Times" w:hAnsi="Helvetica"/>
      <w:b/>
      <w:i/>
      <w:sz w:val="18"/>
    </w:rPr>
  </w:style>
  <w:style w:type="paragraph" w:styleId="En-tte">
    <w:name w:val="header"/>
    <w:basedOn w:val="Normal"/>
    <w:link w:val="En-tteCar"/>
    <w:rsid w:val="00F42774"/>
    <w:pPr>
      <w:tabs>
        <w:tab w:val="center" w:pos="4536"/>
        <w:tab w:val="right" w:pos="9072"/>
      </w:tabs>
    </w:pPr>
    <w:rPr>
      <w:color w:val="808080"/>
    </w:rPr>
  </w:style>
  <w:style w:type="character" w:customStyle="1" w:styleId="En-tteCar">
    <w:name w:val="En-tête Car"/>
    <w:basedOn w:val="Policepardfaut"/>
    <w:link w:val="En-tte"/>
    <w:rsid w:val="00F42774"/>
    <w:rPr>
      <w:color w:val="808080"/>
      <w:sz w:val="24"/>
      <w:szCs w:val="24"/>
    </w:rPr>
  </w:style>
  <w:style w:type="character" w:styleId="Numrodepage">
    <w:name w:val="page number"/>
    <w:basedOn w:val="Policepardfaut"/>
    <w:rsid w:val="00F42774"/>
    <w:rPr>
      <w:dstrike w:val="0"/>
      <w:effect w:val="none"/>
    </w:rPr>
  </w:style>
  <w:style w:type="table" w:styleId="Grilledutableau">
    <w:name w:val="Table Grid"/>
    <w:basedOn w:val="TableauNormal"/>
    <w:rsid w:val="00F427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link w:val="Sous-titreCar"/>
    <w:qFormat/>
    <w:rsid w:val="00F42774"/>
    <w:pPr>
      <w:spacing w:after="60"/>
      <w:jc w:val="center"/>
      <w:outlineLvl w:val="1"/>
    </w:pPr>
    <w:rPr>
      <w:rFonts w:ascii="Arial" w:hAnsi="Arial" w:cs="Arial"/>
    </w:rPr>
  </w:style>
  <w:style w:type="character" w:customStyle="1" w:styleId="Sous-titreCar">
    <w:name w:val="Sous-titre Car"/>
    <w:basedOn w:val="Policepardfaut"/>
    <w:link w:val="Sous-titre"/>
    <w:rsid w:val="00F42774"/>
    <w:rPr>
      <w:rFonts w:ascii="Arial" w:hAnsi="Arial" w:cs="Arial"/>
      <w:sz w:val="24"/>
      <w:szCs w:val="24"/>
    </w:rPr>
  </w:style>
  <w:style w:type="paragraph" w:customStyle="1" w:styleId="AncienT1">
    <w:name w:val="AncienT1"/>
    <w:basedOn w:val="CT"/>
    <w:next w:val="CT12"/>
    <w:rsid w:val="00F42774"/>
    <w:pPr>
      <w:spacing w:before="640" w:after="400"/>
      <w:ind w:left="0"/>
      <w:jc w:val="left"/>
      <w:outlineLvl w:val="0"/>
    </w:pPr>
    <w:rPr>
      <w:b/>
      <w:smallCaps/>
      <w:sz w:val="36"/>
    </w:rPr>
  </w:style>
  <w:style w:type="paragraph" w:customStyle="1" w:styleId="CT12">
    <w:name w:val="CT12"/>
    <w:basedOn w:val="CT"/>
    <w:rsid w:val="00F42774"/>
    <w:pPr>
      <w:spacing w:before="240"/>
    </w:pPr>
  </w:style>
  <w:style w:type="paragraph" w:customStyle="1" w:styleId="TG">
    <w:name w:val="TG"/>
    <w:basedOn w:val="Normal"/>
    <w:next w:val="AncienT1"/>
    <w:rsid w:val="00F42774"/>
    <w:pPr>
      <w:suppressLineNumbers/>
      <w:spacing w:after="1400" w:line="240" w:lineRule="atLeast"/>
      <w:ind w:left="1701"/>
      <w:jc w:val="right"/>
    </w:pPr>
    <w:rPr>
      <w:rFonts w:ascii="Helvetica" w:hAnsi="Helvetica"/>
      <w:b/>
      <w:smallCaps/>
      <w:sz w:val="70"/>
    </w:rPr>
  </w:style>
  <w:style w:type="paragraph" w:customStyle="1" w:styleId="TS">
    <w:name w:val="TS"/>
    <w:basedOn w:val="TG"/>
    <w:next w:val="AncienT1"/>
    <w:rsid w:val="00F42774"/>
    <w:pPr>
      <w:suppressLineNumbers w:val="0"/>
      <w:spacing w:after="800"/>
      <w:ind w:left="0"/>
    </w:pPr>
    <w:rPr>
      <w:sz w:val="52"/>
      <w14:shadow w14:blurRad="50800" w14:dist="38100" w14:dir="2700000" w14:sx="100000" w14:sy="100000" w14:kx="0" w14:ky="0" w14:algn="tl">
        <w14:srgbClr w14:val="000000">
          <w14:alpha w14:val="60000"/>
        </w14:srgbClr>
      </w14:shadow>
    </w:rPr>
  </w:style>
  <w:style w:type="paragraph" w:customStyle="1" w:styleId="T0">
    <w:name w:val="T0"/>
    <w:basedOn w:val="TS"/>
    <w:next w:val="AncienT1"/>
    <w:rsid w:val="00F42774"/>
    <w:pPr>
      <w:jc w:val="center"/>
      <w:outlineLvl w:val="6"/>
    </w:pPr>
    <w:rPr>
      <w:shadow/>
      <w:sz w:val="44"/>
      <w14:shadow w14:blurRad="0" w14:dist="0" w14:dir="0" w14:sx="0" w14:sy="0" w14:kx="0" w14:ky="0" w14:algn="none">
        <w14:srgbClr w14:val="000000"/>
      </w14:shadow>
    </w:rPr>
  </w:style>
  <w:style w:type="paragraph" w:customStyle="1" w:styleId="CT6">
    <w:name w:val="CT6"/>
    <w:basedOn w:val="CT"/>
    <w:rsid w:val="00F42774"/>
    <w:pPr>
      <w:spacing w:before="120"/>
    </w:pPr>
  </w:style>
  <w:style w:type="paragraph" w:customStyle="1" w:styleId="T7">
    <w:name w:val="T7"/>
    <w:basedOn w:val="CT"/>
    <w:next w:val="CT6"/>
    <w:rsid w:val="00F42774"/>
    <w:pPr>
      <w:spacing w:before="200"/>
      <w:ind w:left="2381"/>
      <w:jc w:val="left"/>
      <w:outlineLvl w:val="6"/>
    </w:pPr>
    <w:rPr>
      <w:b/>
    </w:rPr>
  </w:style>
  <w:style w:type="paragraph" w:customStyle="1" w:styleId="T8">
    <w:name w:val="T8"/>
    <w:basedOn w:val="CT"/>
    <w:next w:val="CT"/>
    <w:rsid w:val="00F42774"/>
    <w:pPr>
      <w:numPr>
        <w:numId w:val="1"/>
      </w:numPr>
      <w:spacing w:before="120"/>
      <w:ind w:left="2738" w:hanging="357"/>
      <w:jc w:val="left"/>
      <w:outlineLvl w:val="7"/>
    </w:pPr>
    <w:rPr>
      <w:b/>
    </w:rPr>
  </w:style>
  <w:style w:type="paragraph" w:customStyle="1" w:styleId="Texotitre">
    <w:name w:val="Texo titre"/>
    <w:basedOn w:val="Corpsdetexte"/>
    <w:rsid w:val="00F42774"/>
    <w:pPr>
      <w:keepNext/>
      <w:tabs>
        <w:tab w:val="left" w:pos="196"/>
      </w:tabs>
      <w:spacing w:before="60" w:after="60" w:line="220" w:lineRule="atLeast"/>
      <w:ind w:left="2268" w:right="567"/>
      <w:jc w:val="center"/>
    </w:pPr>
    <w:rPr>
      <w:rFonts w:ascii="Helvetica" w:hAnsi="Helvetica"/>
      <w:b/>
      <w:sz w:val="18"/>
    </w:rPr>
  </w:style>
  <w:style w:type="paragraph" w:customStyle="1" w:styleId="TAF">
    <w:name w:val="TAF"/>
    <w:basedOn w:val="CT"/>
    <w:rsid w:val="00F42774"/>
    <w:pPr>
      <w:ind w:left="284"/>
    </w:pPr>
  </w:style>
  <w:style w:type="paragraph" w:customStyle="1" w:styleId="ATT">
    <w:name w:val="ATT"/>
    <w:basedOn w:val="CT"/>
    <w:next w:val="TATT"/>
    <w:rsid w:val="00F42774"/>
    <w:pPr>
      <w:spacing w:before="120"/>
    </w:pPr>
    <w:rPr>
      <w:b/>
      <w:i/>
      <w:smallCaps/>
      <w:color w:val="4D4D4D"/>
      <w:sz w:val="24"/>
    </w:rPr>
  </w:style>
  <w:style w:type="paragraph" w:styleId="Corpsdetexte">
    <w:name w:val="Body Text"/>
    <w:link w:val="CorpsdetexteCar"/>
    <w:rsid w:val="00F42774"/>
    <w:pPr>
      <w:keepLines/>
      <w:spacing w:before="240" w:line="260" w:lineRule="atLeast"/>
      <w:jc w:val="both"/>
    </w:pPr>
    <w:rPr>
      <w:rFonts w:eastAsia="Times"/>
      <w:sz w:val="22"/>
    </w:rPr>
  </w:style>
  <w:style w:type="character" w:customStyle="1" w:styleId="CorpsdetexteCar">
    <w:name w:val="Corps de texte Car"/>
    <w:basedOn w:val="Policepardfaut"/>
    <w:link w:val="Corpsdetexte"/>
    <w:rsid w:val="00F42774"/>
    <w:rPr>
      <w:rFonts w:eastAsia="Times"/>
      <w:sz w:val="22"/>
    </w:rPr>
  </w:style>
  <w:style w:type="paragraph" w:customStyle="1" w:styleId="AN">
    <w:name w:val="AN"/>
    <w:basedOn w:val="CT"/>
    <w:next w:val="CT12"/>
    <w:rsid w:val="00F42774"/>
    <w:pPr>
      <w:pBdr>
        <w:bottom w:val="single" w:sz="18" w:space="1" w:color="999999"/>
      </w:pBdr>
      <w:spacing w:before="720" w:after="480" w:line="240" w:lineRule="auto"/>
      <w:ind w:left="7938"/>
      <w:jc w:val="center"/>
    </w:pPr>
    <w:rPr>
      <w:b/>
      <w:caps/>
      <w:color w:val="999999"/>
      <w:sz w:val="28"/>
    </w:rPr>
  </w:style>
  <w:style w:type="paragraph" w:customStyle="1" w:styleId="EXE">
    <w:name w:val="EXE"/>
    <w:basedOn w:val="CT"/>
    <w:next w:val="CT"/>
    <w:rsid w:val="00F42774"/>
    <w:pPr>
      <w:spacing w:before="240"/>
      <w:jc w:val="left"/>
    </w:pPr>
    <w:rPr>
      <w:b/>
      <w:smallCaps/>
      <w:color w:val="4D4D4D"/>
      <w:sz w:val="24"/>
    </w:rPr>
  </w:style>
  <w:style w:type="paragraph" w:customStyle="1" w:styleId="EXP">
    <w:name w:val="EXP"/>
    <w:basedOn w:val="EXE"/>
    <w:next w:val="TEXP"/>
    <w:rsid w:val="00F42774"/>
    <w:pPr>
      <w:spacing w:before="120"/>
    </w:pPr>
    <w:rPr>
      <w:i/>
    </w:rPr>
  </w:style>
  <w:style w:type="paragraph" w:customStyle="1" w:styleId="TAU">
    <w:name w:val="TAU"/>
    <w:basedOn w:val="CT"/>
    <w:rsid w:val="00F42774"/>
    <w:pPr>
      <w:keepNext/>
      <w:tabs>
        <w:tab w:val="left" w:pos="196"/>
      </w:tabs>
      <w:spacing w:before="60" w:after="60" w:line="220" w:lineRule="atLeast"/>
      <w:ind w:right="-6"/>
      <w:jc w:val="center"/>
    </w:pPr>
    <w:rPr>
      <w:b/>
      <w:sz w:val="18"/>
    </w:rPr>
  </w:style>
  <w:style w:type="paragraph" w:customStyle="1" w:styleId="Texo">
    <w:name w:val="Texo"/>
    <w:basedOn w:val="CT"/>
    <w:rsid w:val="00F42774"/>
    <w:pPr>
      <w:tabs>
        <w:tab w:val="left" w:pos="196"/>
      </w:tabs>
      <w:spacing w:before="60" w:after="60" w:line="220" w:lineRule="atLeast"/>
      <w:ind w:left="2268" w:right="567"/>
    </w:pPr>
    <w:rPr>
      <w:sz w:val="18"/>
    </w:rPr>
  </w:style>
  <w:style w:type="paragraph" w:styleId="TM1">
    <w:name w:val="toc 1"/>
    <w:basedOn w:val="Normal"/>
    <w:next w:val="Normal"/>
    <w:autoRedefine/>
    <w:rsid w:val="00F42774"/>
    <w:pPr>
      <w:shd w:val="clear" w:color="auto" w:fill="D9D9D9"/>
      <w:tabs>
        <w:tab w:val="right" w:pos="9639"/>
      </w:tabs>
      <w:spacing w:before="240" w:after="240" w:line="320" w:lineRule="atLeast"/>
      <w:ind w:left="284" w:right="567" w:hanging="284"/>
    </w:pPr>
    <w:rPr>
      <w:rFonts w:ascii="Helvetica" w:hAnsi="Helvetica"/>
      <w:b/>
      <w:caps/>
    </w:rPr>
  </w:style>
  <w:style w:type="paragraph" w:styleId="TM2">
    <w:name w:val="toc 2"/>
    <w:basedOn w:val="TM1"/>
    <w:next w:val="Normal"/>
    <w:autoRedefine/>
    <w:rsid w:val="00F42774"/>
    <w:pPr>
      <w:widowControl w:val="0"/>
      <w:shd w:val="clear" w:color="auto" w:fill="auto"/>
      <w:tabs>
        <w:tab w:val="right" w:leader="dot" w:pos="9072"/>
      </w:tabs>
      <w:spacing w:after="120" w:line="240" w:lineRule="atLeast"/>
      <w:ind w:left="709" w:right="425" w:hanging="425"/>
    </w:pPr>
    <w:rPr>
      <w:b w:val="0"/>
      <w:noProof/>
      <w:sz w:val="22"/>
      <w:szCs w:val="20"/>
    </w:rPr>
  </w:style>
  <w:style w:type="paragraph" w:styleId="TM3">
    <w:name w:val="toc 3"/>
    <w:basedOn w:val="Normal"/>
    <w:next w:val="Normal"/>
    <w:autoRedefine/>
    <w:rsid w:val="00F42774"/>
    <w:pPr>
      <w:tabs>
        <w:tab w:val="right" w:leader="dot" w:pos="9072"/>
        <w:tab w:val="right" w:pos="9639"/>
      </w:tabs>
      <w:spacing w:line="240" w:lineRule="atLeast"/>
      <w:ind w:left="1418" w:right="425" w:hanging="709"/>
    </w:pPr>
    <w:rPr>
      <w:rFonts w:ascii="Helvetica" w:hAnsi="Helvetica"/>
      <w:noProof/>
      <w:sz w:val="22"/>
      <w:szCs w:val="20"/>
    </w:rPr>
  </w:style>
  <w:style w:type="paragraph" w:styleId="TM4">
    <w:name w:val="toc 4"/>
    <w:basedOn w:val="CT"/>
    <w:next w:val="Normal"/>
    <w:autoRedefine/>
    <w:rsid w:val="00F42774"/>
    <w:pPr>
      <w:ind w:left="720"/>
    </w:pPr>
  </w:style>
  <w:style w:type="paragraph" w:styleId="TM5">
    <w:name w:val="toc 5"/>
    <w:basedOn w:val="Normal"/>
    <w:next w:val="Normal"/>
    <w:autoRedefine/>
    <w:rsid w:val="00F42774"/>
    <w:pPr>
      <w:ind w:left="720"/>
    </w:pPr>
    <w:rPr>
      <w:sz w:val="20"/>
      <w:szCs w:val="20"/>
    </w:rPr>
  </w:style>
  <w:style w:type="paragraph" w:styleId="TM6">
    <w:name w:val="toc 6"/>
    <w:basedOn w:val="Normal"/>
    <w:next w:val="Normal"/>
    <w:autoRedefine/>
    <w:rsid w:val="00F42774"/>
    <w:pPr>
      <w:ind w:left="960"/>
    </w:pPr>
    <w:rPr>
      <w:sz w:val="20"/>
      <w:szCs w:val="20"/>
    </w:rPr>
  </w:style>
  <w:style w:type="paragraph" w:styleId="TM7">
    <w:name w:val="toc 7"/>
    <w:basedOn w:val="TM8"/>
    <w:next w:val="Normal"/>
    <w:autoRedefine/>
    <w:rsid w:val="00F42774"/>
    <w:pPr>
      <w:spacing w:before="400"/>
    </w:pPr>
    <w:rPr>
      <w:color w:val="999999"/>
      <w:sz w:val="26"/>
    </w:rPr>
  </w:style>
  <w:style w:type="paragraph" w:styleId="TM8">
    <w:name w:val="toc 8"/>
    <w:basedOn w:val="TM1"/>
    <w:next w:val="Normal"/>
    <w:autoRedefine/>
    <w:rsid w:val="00F42774"/>
    <w:pPr>
      <w:suppressLineNumbers/>
      <w:shd w:val="clear" w:color="auto" w:fill="auto"/>
      <w:spacing w:before="360" w:after="360"/>
      <w:ind w:left="0" w:right="0" w:firstLine="0"/>
    </w:pPr>
    <w:rPr>
      <w:b w:val="0"/>
      <w:sz w:val="28"/>
      <w:szCs w:val="20"/>
    </w:rPr>
  </w:style>
  <w:style w:type="paragraph" w:styleId="TM9">
    <w:name w:val="toc 9"/>
    <w:basedOn w:val="Normal"/>
    <w:next w:val="Normal"/>
    <w:autoRedefine/>
    <w:rsid w:val="00F42774"/>
    <w:pPr>
      <w:ind w:left="1680"/>
    </w:pPr>
    <w:rPr>
      <w:sz w:val="20"/>
      <w:szCs w:val="20"/>
    </w:rPr>
  </w:style>
  <w:style w:type="paragraph" w:customStyle="1" w:styleId="ATTCT">
    <w:name w:val="ATT CT"/>
    <w:basedOn w:val="CT"/>
    <w:next w:val="CT"/>
    <w:rsid w:val="00F42774"/>
    <w:pPr>
      <w:ind w:left="4"/>
    </w:pPr>
    <w:rPr>
      <w:color w:val="000000"/>
    </w:rPr>
  </w:style>
  <w:style w:type="character" w:styleId="Appelnotedebasdep">
    <w:name w:val="footnote reference"/>
    <w:rsid w:val="00F42774"/>
    <w:rPr>
      <w:rFonts w:ascii="Helvetica" w:hAnsi="Helvetica"/>
      <w:dstrike w:val="0"/>
      <w:color w:val="auto"/>
      <w:sz w:val="20"/>
      <w:szCs w:val="24"/>
      <w:effect w:val="none"/>
      <w:vertAlign w:val="superscript"/>
      <w:lang w:val="fr-FR" w:eastAsia="fr-FR" w:bidi="ar-SA"/>
    </w:rPr>
  </w:style>
  <w:style w:type="paragraph" w:customStyle="1" w:styleId="ANNEXE">
    <w:name w:val="ANNEXE"/>
    <w:basedOn w:val="Corpsdetexte"/>
    <w:rsid w:val="00F42774"/>
    <w:pPr>
      <w:keepLines w:val="0"/>
      <w:ind w:left="1134"/>
      <w:jc w:val="center"/>
    </w:pPr>
    <w:rPr>
      <w:b/>
      <w:caps/>
    </w:rPr>
  </w:style>
  <w:style w:type="paragraph" w:customStyle="1" w:styleId="Ztitre">
    <w:name w:val="Ztitre"/>
    <w:rsid w:val="00F42774"/>
    <w:pPr>
      <w:widowControl w:val="0"/>
      <w:spacing w:line="360" w:lineRule="exact"/>
      <w:jc w:val="center"/>
    </w:pPr>
    <w:rPr>
      <w:rFonts w:eastAsia="Times"/>
      <w:b/>
      <w:sz w:val="32"/>
    </w:rPr>
  </w:style>
  <w:style w:type="paragraph" w:customStyle="1" w:styleId="FA">
    <w:name w:val="FA"/>
    <w:basedOn w:val="AN"/>
    <w:rsid w:val="00F42774"/>
    <w:pPr>
      <w:pageBreakBefore/>
      <w:pBdr>
        <w:bottom w:val="single" w:sz="18" w:space="1" w:color="auto"/>
      </w:pBdr>
      <w:ind w:left="5857"/>
    </w:pPr>
    <w:rPr>
      <w:color w:val="auto"/>
    </w:rPr>
  </w:style>
  <w:style w:type="paragraph" w:styleId="Corpsdetexte3">
    <w:name w:val="Body Text 3"/>
    <w:basedOn w:val="Normal"/>
    <w:link w:val="Corpsdetexte3Car"/>
    <w:rsid w:val="00F42774"/>
    <w:pPr>
      <w:spacing w:after="120"/>
    </w:pPr>
    <w:rPr>
      <w:sz w:val="16"/>
      <w:szCs w:val="16"/>
    </w:rPr>
  </w:style>
  <w:style w:type="character" w:customStyle="1" w:styleId="Corpsdetexte3Car">
    <w:name w:val="Corps de texte 3 Car"/>
    <w:basedOn w:val="Policepardfaut"/>
    <w:link w:val="Corpsdetexte3"/>
    <w:rsid w:val="00F42774"/>
    <w:rPr>
      <w:sz w:val="16"/>
      <w:szCs w:val="16"/>
    </w:rPr>
  </w:style>
  <w:style w:type="paragraph" w:customStyle="1" w:styleId="RP">
    <w:name w:val="RP"/>
    <w:basedOn w:val="CT"/>
    <w:rsid w:val="00F42774"/>
    <w:pPr>
      <w:spacing w:before="240" w:after="120"/>
    </w:pPr>
    <w:rPr>
      <w:b/>
      <w:sz w:val="22"/>
    </w:rPr>
  </w:style>
  <w:style w:type="paragraph" w:customStyle="1" w:styleId="ZEn-tetedepage">
    <w:name w:val="ZEn-tete de page"/>
    <w:basedOn w:val="Normal"/>
    <w:rsid w:val="00F42774"/>
    <w:pPr>
      <w:keepLines/>
      <w:spacing w:line="260" w:lineRule="atLeast"/>
      <w:jc w:val="right"/>
    </w:pPr>
    <w:rPr>
      <w:rFonts w:eastAsia="Times"/>
      <w:sz w:val="22"/>
      <w:szCs w:val="20"/>
    </w:rPr>
  </w:style>
  <w:style w:type="paragraph" w:customStyle="1" w:styleId="tableau">
    <w:name w:val="tableau"/>
    <w:basedOn w:val="Normal"/>
    <w:rsid w:val="00F42774"/>
    <w:pPr>
      <w:spacing w:line="240" w:lineRule="atLeast"/>
      <w:jc w:val="both"/>
    </w:pPr>
    <w:rPr>
      <w:sz w:val="22"/>
      <w:szCs w:val="20"/>
    </w:rPr>
  </w:style>
  <w:style w:type="paragraph" w:customStyle="1" w:styleId="PE">
    <w:name w:val="PE"/>
    <w:basedOn w:val="ET"/>
    <w:rsid w:val="00F42774"/>
    <w:pPr>
      <w:numPr>
        <w:numId w:val="2"/>
      </w:numPr>
    </w:pPr>
  </w:style>
  <w:style w:type="paragraph" w:customStyle="1" w:styleId="TD1">
    <w:name w:val="TD1"/>
    <w:basedOn w:val="CT"/>
    <w:rsid w:val="00F42774"/>
    <w:pPr>
      <w:spacing w:before="640" w:after="400"/>
      <w:ind w:left="363" w:hanging="363"/>
    </w:pPr>
    <w:rPr>
      <w:b/>
      <w:caps/>
      <w:sz w:val="26"/>
    </w:rPr>
  </w:style>
  <w:style w:type="paragraph" w:customStyle="1" w:styleId="TC1">
    <w:name w:val="TC1"/>
    <w:basedOn w:val="TD1"/>
    <w:rsid w:val="00F42774"/>
    <w:pPr>
      <w:spacing w:before="0" w:after="0" w:line="240" w:lineRule="auto"/>
      <w:ind w:left="0" w:firstLine="0"/>
      <w:jc w:val="left"/>
    </w:pPr>
    <w:rPr>
      <w:rFonts w:ascii="Times New Roman" w:hAnsi="Times New Roman"/>
      <w:b w:val="0"/>
      <w:caps w:val="0"/>
      <w:sz w:val="24"/>
    </w:rPr>
  </w:style>
  <w:style w:type="paragraph" w:customStyle="1" w:styleId="TD2">
    <w:name w:val="TD2"/>
    <w:basedOn w:val="CT"/>
    <w:rsid w:val="00F42774"/>
    <w:pPr>
      <w:keepNext/>
      <w:spacing w:before="480"/>
      <w:ind w:left="851"/>
    </w:pPr>
    <w:rPr>
      <w:b/>
      <w:sz w:val="26"/>
    </w:rPr>
  </w:style>
  <w:style w:type="paragraph" w:customStyle="1" w:styleId="TC2">
    <w:name w:val="TC2"/>
    <w:basedOn w:val="TD2"/>
    <w:rsid w:val="00F42774"/>
    <w:pPr>
      <w:keepNext w:val="0"/>
      <w:spacing w:before="0" w:line="240" w:lineRule="auto"/>
      <w:ind w:left="0"/>
      <w:jc w:val="left"/>
    </w:pPr>
    <w:rPr>
      <w:rFonts w:ascii="Times New Roman" w:hAnsi="Times New Roman"/>
      <w:b w:val="0"/>
      <w:sz w:val="24"/>
    </w:rPr>
  </w:style>
  <w:style w:type="paragraph" w:customStyle="1" w:styleId="TD3">
    <w:name w:val="TD3"/>
    <w:basedOn w:val="CT"/>
    <w:rsid w:val="00F42774"/>
    <w:pPr>
      <w:keepNext/>
      <w:spacing w:before="360"/>
      <w:ind w:left="1418"/>
    </w:pPr>
    <w:rPr>
      <w:b/>
      <w:smallCaps/>
      <w:sz w:val="24"/>
    </w:rPr>
  </w:style>
  <w:style w:type="paragraph" w:customStyle="1" w:styleId="TC3">
    <w:name w:val="TC3"/>
    <w:basedOn w:val="TD3"/>
    <w:rsid w:val="00F42774"/>
    <w:pPr>
      <w:keepNext w:val="0"/>
      <w:spacing w:before="0" w:line="240" w:lineRule="auto"/>
      <w:ind w:left="0"/>
      <w:jc w:val="left"/>
    </w:pPr>
    <w:rPr>
      <w:rFonts w:ascii="Times New Roman" w:hAnsi="Times New Roman"/>
      <w:b w:val="0"/>
      <w:smallCaps w:val="0"/>
    </w:rPr>
  </w:style>
  <w:style w:type="paragraph" w:customStyle="1" w:styleId="TD4">
    <w:name w:val="TD4"/>
    <w:basedOn w:val="CT"/>
    <w:rsid w:val="00F42774"/>
    <w:pPr>
      <w:keepNext/>
      <w:spacing w:before="300"/>
    </w:pPr>
    <w:rPr>
      <w:b/>
      <w:sz w:val="22"/>
    </w:rPr>
  </w:style>
  <w:style w:type="paragraph" w:customStyle="1" w:styleId="TC4">
    <w:name w:val="TC4"/>
    <w:basedOn w:val="TD4"/>
    <w:rsid w:val="00F42774"/>
    <w:pPr>
      <w:keepNext w:val="0"/>
      <w:spacing w:before="0" w:line="240" w:lineRule="auto"/>
      <w:ind w:left="0"/>
      <w:jc w:val="left"/>
    </w:pPr>
    <w:rPr>
      <w:rFonts w:ascii="Times New Roman" w:hAnsi="Times New Roman"/>
      <w:b w:val="0"/>
      <w:sz w:val="24"/>
    </w:rPr>
  </w:style>
  <w:style w:type="paragraph" w:styleId="Notedebasdepage">
    <w:name w:val="footnote text"/>
    <w:basedOn w:val="Normal"/>
    <w:link w:val="NotedebasdepageCar"/>
    <w:rsid w:val="00F42774"/>
    <w:pPr>
      <w:spacing w:line="180" w:lineRule="atLeast"/>
      <w:ind w:left="125" w:hanging="125"/>
      <w:jc w:val="both"/>
    </w:pPr>
    <w:rPr>
      <w:rFonts w:ascii="Helvetica" w:hAnsi="Helvetica"/>
      <w:sz w:val="14"/>
    </w:rPr>
  </w:style>
  <w:style w:type="character" w:customStyle="1" w:styleId="NotedebasdepageCar">
    <w:name w:val="Note de bas de page Car"/>
    <w:basedOn w:val="Policepardfaut"/>
    <w:link w:val="Notedebasdepage"/>
    <w:rsid w:val="00F42774"/>
    <w:rPr>
      <w:rFonts w:ascii="Helvetica" w:hAnsi="Helvetica"/>
      <w:sz w:val="14"/>
      <w:szCs w:val="24"/>
    </w:rPr>
  </w:style>
  <w:style w:type="paragraph" w:styleId="Index1">
    <w:name w:val="index 1"/>
    <w:basedOn w:val="CT"/>
    <w:next w:val="CT"/>
    <w:autoRedefine/>
    <w:rsid w:val="00F42774"/>
    <w:pPr>
      <w:ind w:left="240" w:hanging="240"/>
    </w:pPr>
  </w:style>
  <w:style w:type="paragraph" w:customStyle="1" w:styleId="TATT">
    <w:name w:val="TATT"/>
    <w:basedOn w:val="CT"/>
    <w:rsid w:val="00F42774"/>
    <w:pPr>
      <w:pBdr>
        <w:left w:val="single" w:sz="18" w:space="4" w:color="4D4D4D"/>
      </w:pBdr>
    </w:pPr>
  </w:style>
  <w:style w:type="paragraph" w:customStyle="1" w:styleId="TEXP">
    <w:name w:val="TEXP"/>
    <w:basedOn w:val="TATT"/>
    <w:rsid w:val="00F42774"/>
  </w:style>
  <w:style w:type="paragraph" w:customStyle="1" w:styleId="EXPN">
    <w:name w:val="EXPN"/>
    <w:basedOn w:val="EXP"/>
    <w:next w:val="CT"/>
    <w:rsid w:val="00F42774"/>
    <w:pPr>
      <w:pBdr>
        <w:top w:val="single" w:sz="12" w:space="1" w:color="4D4D4D"/>
        <w:left w:val="single" w:sz="12" w:space="4" w:color="4D4D4D"/>
      </w:pBdr>
      <w:ind w:right="5670"/>
    </w:pPr>
  </w:style>
  <w:style w:type="paragraph" w:customStyle="1" w:styleId="EXPNF">
    <w:name w:val="EXPNF"/>
    <w:basedOn w:val="EXPN"/>
    <w:next w:val="CT"/>
    <w:rsid w:val="00F42774"/>
    <w:pPr>
      <w:pBdr>
        <w:top w:val="none" w:sz="0" w:space="0" w:color="auto"/>
        <w:left w:val="none" w:sz="0" w:space="0" w:color="auto"/>
        <w:bottom w:val="single" w:sz="12" w:space="1" w:color="4D4D4D"/>
        <w:right w:val="single" w:sz="12" w:space="4" w:color="4D4D4D"/>
      </w:pBdr>
      <w:spacing w:before="0"/>
      <w:ind w:left="7371" w:right="0"/>
      <w:jc w:val="right"/>
    </w:pPr>
  </w:style>
  <w:style w:type="paragraph" w:customStyle="1" w:styleId="EXED">
    <w:name w:val="EXED"/>
    <w:basedOn w:val="CT"/>
    <w:next w:val="CT"/>
    <w:rsid w:val="00F42774"/>
    <w:pPr>
      <w:pBdr>
        <w:top w:val="single" w:sz="12" w:space="1" w:color="4D4D4D"/>
        <w:left w:val="single" w:sz="12" w:space="4" w:color="4D4D4D"/>
      </w:pBdr>
      <w:spacing w:before="240"/>
      <w:ind w:right="5670"/>
    </w:pPr>
    <w:rPr>
      <w:b/>
      <w:i/>
      <w:caps/>
      <w:color w:val="4D4D4D"/>
      <w:sz w:val="24"/>
    </w:rPr>
  </w:style>
  <w:style w:type="paragraph" w:customStyle="1" w:styleId="EXEF">
    <w:name w:val="EXEF"/>
    <w:basedOn w:val="EXED"/>
    <w:next w:val="CT"/>
    <w:rsid w:val="00F42774"/>
    <w:pPr>
      <w:pBdr>
        <w:top w:val="none" w:sz="0" w:space="0" w:color="auto"/>
        <w:left w:val="none" w:sz="0" w:space="0" w:color="auto"/>
        <w:bottom w:val="single" w:sz="12" w:space="1" w:color="4D4D4D"/>
        <w:right w:val="single" w:sz="12" w:space="4" w:color="4D4D4D"/>
      </w:pBdr>
      <w:spacing w:before="0"/>
      <w:ind w:left="7371" w:right="0"/>
      <w:jc w:val="right"/>
    </w:pPr>
  </w:style>
  <w:style w:type="paragraph" w:customStyle="1" w:styleId="TF">
    <w:name w:val="TF"/>
    <w:basedOn w:val="RP"/>
    <w:rsid w:val="00F42774"/>
    <w:rPr>
      <w:sz w:val="20"/>
    </w:rPr>
  </w:style>
  <w:style w:type="paragraph" w:customStyle="1" w:styleId="DateCpt">
    <w:name w:val="DateCpt"/>
    <w:basedOn w:val="TA1"/>
    <w:rsid w:val="00F42774"/>
    <w:pPr>
      <w:spacing w:line="100" w:lineRule="exact"/>
      <w:jc w:val="center"/>
    </w:pPr>
    <w:rPr>
      <w:snapToGrid w:val="0"/>
    </w:rPr>
  </w:style>
  <w:style w:type="numbering" w:styleId="ArticleSection">
    <w:name w:val="Outline List 3"/>
    <w:basedOn w:val="Aucuneliste"/>
    <w:rsid w:val="00F42774"/>
    <w:pPr>
      <w:numPr>
        <w:numId w:val="4"/>
      </w:numPr>
    </w:pPr>
  </w:style>
  <w:style w:type="paragraph" w:customStyle="1" w:styleId="StyleTTCentr">
    <w:name w:val="Style TT + Centré"/>
    <w:basedOn w:val="TT"/>
    <w:rsid w:val="00F42774"/>
    <w:rPr>
      <w:bCs/>
      <w:szCs w:val="20"/>
    </w:rPr>
  </w:style>
  <w:style w:type="paragraph" w:styleId="Index2">
    <w:name w:val="index 2"/>
    <w:basedOn w:val="CT"/>
    <w:next w:val="Normal"/>
    <w:autoRedefine/>
    <w:rsid w:val="00F42774"/>
    <w:pPr>
      <w:ind w:left="480" w:hanging="240"/>
    </w:pPr>
  </w:style>
  <w:style w:type="paragraph" w:customStyle="1" w:styleId="CT66">
    <w:name w:val="CT6 + 6"/>
    <w:basedOn w:val="CT6"/>
    <w:rsid w:val="00F42774"/>
    <w:pPr>
      <w:spacing w:after="120"/>
    </w:pPr>
  </w:style>
  <w:style w:type="paragraph" w:customStyle="1" w:styleId="titfilet">
    <w:name w:val="tit_filet"/>
    <w:basedOn w:val="Normal"/>
    <w:next w:val="Normal"/>
    <w:rsid w:val="00F42774"/>
    <w:pPr>
      <w:pBdr>
        <w:top w:val="single" w:sz="4" w:space="1" w:color="FF0000"/>
        <w:left w:val="single" w:sz="4" w:space="4" w:color="FF0000"/>
      </w:pBdr>
    </w:pPr>
    <w:rPr>
      <w:rFonts w:ascii="Arial" w:hAnsi="Arial"/>
      <w:color w:val="FF0000"/>
      <w:sz w:val="20"/>
      <w:szCs w:val="20"/>
    </w:rPr>
  </w:style>
  <w:style w:type="paragraph" w:customStyle="1" w:styleId="UE-Code2">
    <w:name w:val="UE-Code2"/>
    <w:basedOn w:val="UE-Code"/>
    <w:rsid w:val="00F42774"/>
    <w:pPr>
      <w:numPr>
        <w:ilvl w:val="2"/>
      </w:numPr>
    </w:pPr>
    <w:rPr>
      <w:b w:val="0"/>
      <w:smallCaps w:val="0"/>
      <w:shadow/>
      <w14:shadow w14:blurRad="0" w14:dist="0" w14:dir="0" w14:sx="0" w14:sy="0" w14:kx="0" w14:ky="0" w14:algn="none">
        <w14:srgbClr w14:val="000000"/>
      </w14:shadow>
    </w:rPr>
  </w:style>
  <w:style w:type="paragraph" w:customStyle="1" w:styleId="UE-CodeCNED">
    <w:name w:val="UE-CodeCNED"/>
    <w:rsid w:val="00F42774"/>
    <w:pPr>
      <w:numPr>
        <w:ilvl w:val="1"/>
        <w:numId w:val="27"/>
      </w:numPr>
    </w:pPr>
    <w:rPr>
      <w:rFonts w:ascii="Helvetica" w:hAnsi="Helvetica"/>
      <w:b/>
      <w:smallCaps/>
      <w:sz w:val="36"/>
      <w:szCs w:val="24"/>
    </w:rPr>
  </w:style>
  <w:style w:type="paragraph" w:customStyle="1" w:styleId="UE-CodeCNED2">
    <w:name w:val="UE-CodeCNED2"/>
    <w:rsid w:val="00F42774"/>
    <w:pPr>
      <w:numPr>
        <w:ilvl w:val="3"/>
        <w:numId w:val="27"/>
      </w:numPr>
    </w:pPr>
    <w:rPr>
      <w:rFonts w:ascii="Helvetica" w:hAnsi="Helvetica"/>
      <w:b/>
      <w:smallCaps/>
      <w:sz w:val="36"/>
      <w:szCs w:val="24"/>
    </w:rPr>
  </w:style>
  <w:style w:type="paragraph" w:customStyle="1" w:styleId="TSerie">
    <w:name w:val="T_Serie"/>
    <w:next w:val="AncienT1"/>
    <w:rsid w:val="00F42774"/>
    <w:pPr>
      <w:spacing w:after="800"/>
    </w:pPr>
    <w:rPr>
      <w:rFonts w:ascii="Helvetica" w:hAnsi="Helvetica"/>
      <w:b/>
      <w:smallCaps/>
      <w:sz w:val="52"/>
      <w:szCs w:val="24"/>
    </w:rPr>
  </w:style>
  <w:style w:type="paragraph" w:customStyle="1" w:styleId="PropositionValide">
    <w:name w:val="Proposition_Valide"/>
    <w:basedOn w:val="CT"/>
    <w:rsid w:val="00F42774"/>
    <w:rPr>
      <w:color w:val="99CC00"/>
    </w:rPr>
  </w:style>
  <w:style w:type="paragraph" w:customStyle="1" w:styleId="PropositionFausse">
    <w:name w:val="Proposition_Fausse"/>
    <w:basedOn w:val="CT"/>
    <w:next w:val="PropositionValide"/>
    <w:rsid w:val="00F42774"/>
    <w:rPr>
      <w:color w:val="000080"/>
    </w:rPr>
  </w:style>
  <w:style w:type="paragraph" w:customStyle="1" w:styleId="Tab-ET">
    <w:name w:val="Tab-ET"/>
    <w:basedOn w:val="ET"/>
    <w:qFormat/>
    <w:rsid w:val="00F42774"/>
    <w:pPr>
      <w:tabs>
        <w:tab w:val="clear" w:pos="1871"/>
        <w:tab w:val="num" w:pos="170"/>
      </w:tabs>
      <w:ind w:left="170"/>
    </w:pPr>
  </w:style>
  <w:style w:type="character" w:customStyle="1" w:styleId="TexteLexique">
    <w:name w:val="Texte_Lexique"/>
    <w:basedOn w:val="Policepardfaut"/>
    <w:rsid w:val="00F42774"/>
    <w:rPr>
      <w:dstrike w:val="0"/>
      <w:effect w:val="none"/>
    </w:rPr>
  </w:style>
  <w:style w:type="paragraph" w:customStyle="1" w:styleId="Tab-ETS">
    <w:name w:val="Tab-ETS"/>
    <w:basedOn w:val="ETS"/>
    <w:qFormat/>
    <w:rsid w:val="00F42774"/>
    <w:pPr>
      <w:ind w:left="170"/>
    </w:pPr>
  </w:style>
  <w:style w:type="paragraph" w:customStyle="1" w:styleId="TexteAuteur">
    <w:name w:val="Texte_Auteur"/>
    <w:basedOn w:val="CT"/>
    <w:next w:val="CT"/>
    <w:rsid w:val="00F42774"/>
  </w:style>
  <w:style w:type="paragraph" w:customStyle="1" w:styleId="Tab-SEP">
    <w:name w:val="Tab-SEP"/>
    <w:basedOn w:val="SEP"/>
    <w:qFormat/>
    <w:rsid w:val="00F42774"/>
    <w:pPr>
      <w:numPr>
        <w:ilvl w:val="0"/>
        <w:numId w:val="37"/>
      </w:numPr>
      <w:tabs>
        <w:tab w:val="left" w:pos="340"/>
      </w:tabs>
      <w:ind w:left="340" w:hanging="170"/>
    </w:pPr>
  </w:style>
  <w:style w:type="character" w:customStyle="1" w:styleId="numTestQuestion">
    <w:name w:val="numTestQuestion"/>
    <w:rsid w:val="00F42774"/>
    <w:rPr>
      <w:dstrike w:val="0"/>
      <w:color w:val="993366"/>
      <w:effect w:val="none"/>
      <w:vertAlign w:val="baseline"/>
    </w:rPr>
  </w:style>
  <w:style w:type="paragraph" w:customStyle="1" w:styleId="TexteTestQuestion">
    <w:name w:val="Texte_TestQuestion"/>
    <w:basedOn w:val="CT"/>
    <w:next w:val="PropositionFausse"/>
    <w:rsid w:val="00F42774"/>
    <w:rPr>
      <w:color w:val="993366"/>
    </w:rPr>
  </w:style>
  <w:style w:type="character" w:customStyle="1" w:styleId="NTestQuestion">
    <w:name w:val="N_TestQuestion"/>
    <w:rsid w:val="00F42774"/>
    <w:rPr>
      <w:b/>
      <w:dstrike w:val="0"/>
      <w:color w:val="993366"/>
      <w:effect w:val="none"/>
      <w:vertAlign w:val="baseline"/>
    </w:rPr>
  </w:style>
  <w:style w:type="paragraph" w:customStyle="1" w:styleId="Tab-SEPS">
    <w:name w:val="Tab-SEPS"/>
    <w:basedOn w:val="SEPS"/>
    <w:qFormat/>
    <w:rsid w:val="00F42774"/>
    <w:pPr>
      <w:ind w:left="340"/>
    </w:pPr>
  </w:style>
  <w:style w:type="paragraph" w:customStyle="1" w:styleId="TAnote">
    <w:name w:val="TA_note"/>
    <w:basedOn w:val="TA1"/>
    <w:rsid w:val="00F42774"/>
    <w:pPr>
      <w:numPr>
        <w:numId w:val="7"/>
      </w:numPr>
    </w:pPr>
  </w:style>
  <w:style w:type="paragraph" w:customStyle="1" w:styleId="ssTitreRubrique">
    <w:name w:val="ssTitre_Rubrique"/>
    <w:basedOn w:val="TitreRubrique"/>
    <w:rsid w:val="00F42774"/>
    <w:pPr>
      <w:numPr>
        <w:numId w:val="21"/>
      </w:numPr>
    </w:pPr>
    <w:rPr>
      <w:sz w:val="18"/>
    </w:rPr>
  </w:style>
  <w:style w:type="paragraph" w:customStyle="1" w:styleId="TATexte">
    <w:name w:val="TA_Texte"/>
    <w:rsid w:val="00F42774"/>
    <w:rPr>
      <w:rFonts w:ascii="Helvetica" w:hAnsi="Helvetica"/>
      <w:szCs w:val="24"/>
    </w:rPr>
  </w:style>
  <w:style w:type="paragraph" w:customStyle="1" w:styleId="TexteImage">
    <w:name w:val="Texte_Image"/>
    <w:next w:val="CT"/>
    <w:rsid w:val="00F42774"/>
    <w:rPr>
      <w:rFonts w:ascii="Helvetica" w:hAnsi="Helvetica"/>
      <w:szCs w:val="24"/>
    </w:rPr>
  </w:style>
  <w:style w:type="numbering" w:styleId="111111">
    <w:name w:val="Outline List 2"/>
    <w:basedOn w:val="Aucuneliste"/>
    <w:rsid w:val="00F42774"/>
    <w:pPr>
      <w:numPr>
        <w:numId w:val="9"/>
      </w:numPr>
    </w:pPr>
  </w:style>
  <w:style w:type="numbering" w:styleId="1ai">
    <w:name w:val="Outline List 1"/>
    <w:basedOn w:val="Aucuneliste"/>
    <w:rsid w:val="00F42774"/>
    <w:pPr>
      <w:numPr>
        <w:numId w:val="10"/>
      </w:numPr>
    </w:pPr>
  </w:style>
  <w:style w:type="character" w:styleId="Accentuation">
    <w:name w:val="Emphasis"/>
    <w:qFormat/>
    <w:rsid w:val="00F42774"/>
    <w:rPr>
      <w:i/>
      <w:iCs/>
      <w:dstrike w:val="0"/>
      <w:effect w:val="none"/>
    </w:rPr>
  </w:style>
  <w:style w:type="character" w:styleId="AcronymeHTML">
    <w:name w:val="HTML Acronym"/>
    <w:basedOn w:val="Policepardfaut"/>
    <w:rsid w:val="00F42774"/>
    <w:rPr>
      <w:dstrike w:val="0"/>
      <w:effect w:val="none"/>
    </w:rPr>
  </w:style>
  <w:style w:type="paragraph" w:styleId="Adressedestinataire">
    <w:name w:val="envelope address"/>
    <w:basedOn w:val="Normal"/>
    <w:rsid w:val="00F42774"/>
    <w:pPr>
      <w:framePr w:w="7938" w:h="1985" w:hRule="exact" w:hSpace="141" w:wrap="auto" w:hAnchor="page" w:xAlign="center" w:yAlign="bottom"/>
      <w:ind w:left="2835"/>
    </w:pPr>
    <w:rPr>
      <w:rFonts w:ascii="Arial" w:hAnsi="Arial" w:cs="Arial"/>
    </w:rPr>
  </w:style>
  <w:style w:type="paragraph" w:styleId="Adresseexpditeur">
    <w:name w:val="envelope return"/>
    <w:basedOn w:val="Normal"/>
    <w:rsid w:val="00F42774"/>
    <w:rPr>
      <w:rFonts w:ascii="Arial" w:hAnsi="Arial" w:cs="Arial"/>
      <w:sz w:val="20"/>
      <w:szCs w:val="20"/>
    </w:rPr>
  </w:style>
  <w:style w:type="paragraph" w:styleId="AdresseHTML">
    <w:name w:val="HTML Address"/>
    <w:basedOn w:val="Normal"/>
    <w:link w:val="AdresseHTMLCar"/>
    <w:rsid w:val="00F42774"/>
    <w:rPr>
      <w:i/>
      <w:iCs/>
    </w:rPr>
  </w:style>
  <w:style w:type="character" w:customStyle="1" w:styleId="AdresseHTMLCar">
    <w:name w:val="Adresse HTML Car"/>
    <w:basedOn w:val="Policepardfaut"/>
    <w:link w:val="AdresseHTML"/>
    <w:rsid w:val="00F42774"/>
    <w:rPr>
      <w:i/>
      <w:iCs/>
      <w:sz w:val="24"/>
      <w:szCs w:val="24"/>
    </w:rPr>
  </w:style>
  <w:style w:type="character" w:styleId="Appeldenotedefin">
    <w:name w:val="endnote reference"/>
    <w:rsid w:val="00F42774"/>
    <w:rPr>
      <w:dstrike w:val="0"/>
      <w:effect w:val="none"/>
      <w:vertAlign w:val="superscript"/>
    </w:rPr>
  </w:style>
  <w:style w:type="character" w:styleId="CitationHTML">
    <w:name w:val="HTML Cite"/>
    <w:rsid w:val="00F42774"/>
    <w:rPr>
      <w:i/>
      <w:iCs/>
      <w:dstrike w:val="0"/>
      <w:effect w:val="none"/>
    </w:rPr>
  </w:style>
  <w:style w:type="table" w:styleId="Tableauclassique1">
    <w:name w:val="Table Classic 1"/>
    <w:basedOn w:val="TableauNormal"/>
    <w:rsid w:val="00F4277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F4277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F4277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F4277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rsid w:val="00F42774"/>
    <w:rPr>
      <w:rFonts w:ascii="Courier New" w:hAnsi="Courier New" w:cs="Courier New"/>
      <w:dstrike w:val="0"/>
      <w:sz w:val="20"/>
      <w:szCs w:val="20"/>
      <w:effect w:val="none"/>
    </w:rPr>
  </w:style>
  <w:style w:type="character" w:styleId="CodeHTML">
    <w:name w:val="HTML Code"/>
    <w:rsid w:val="00F42774"/>
    <w:rPr>
      <w:rFonts w:ascii="Courier New" w:hAnsi="Courier New" w:cs="Courier New"/>
      <w:dstrike w:val="0"/>
      <w:sz w:val="20"/>
      <w:szCs w:val="20"/>
      <w:effect w:val="none"/>
    </w:rPr>
  </w:style>
  <w:style w:type="table" w:styleId="Colonnesdetableau1">
    <w:name w:val="Table Columns 1"/>
    <w:basedOn w:val="TableauNormal"/>
    <w:rsid w:val="00F4277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F4277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F4277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F4277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F4277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rsid w:val="00F4277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F4277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F4277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Commentaire">
    <w:name w:val="annotation text"/>
    <w:basedOn w:val="Normal"/>
    <w:link w:val="CommentaireCar"/>
    <w:rsid w:val="00F42774"/>
    <w:rPr>
      <w:sz w:val="20"/>
      <w:szCs w:val="20"/>
    </w:rPr>
  </w:style>
  <w:style w:type="character" w:customStyle="1" w:styleId="CommentaireCar">
    <w:name w:val="Commentaire Car"/>
    <w:basedOn w:val="Policepardfaut"/>
    <w:link w:val="Commentaire"/>
    <w:rsid w:val="00F42774"/>
  </w:style>
  <w:style w:type="table" w:styleId="Tableaucontemporain">
    <w:name w:val="Table Contemporary"/>
    <w:basedOn w:val="TableauNormal"/>
    <w:rsid w:val="00F4277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2">
    <w:name w:val="Body Text 2"/>
    <w:basedOn w:val="Normal"/>
    <w:link w:val="Corpsdetexte2Car"/>
    <w:rsid w:val="00F42774"/>
    <w:pPr>
      <w:spacing w:after="120" w:line="480" w:lineRule="auto"/>
    </w:pPr>
  </w:style>
  <w:style w:type="character" w:customStyle="1" w:styleId="Corpsdetexte2Car">
    <w:name w:val="Corps de texte 2 Car"/>
    <w:basedOn w:val="Policepardfaut"/>
    <w:link w:val="Corpsdetexte2"/>
    <w:rsid w:val="00F42774"/>
    <w:rPr>
      <w:sz w:val="24"/>
      <w:szCs w:val="24"/>
    </w:rPr>
  </w:style>
  <w:style w:type="paragraph" w:styleId="Date">
    <w:name w:val="Date"/>
    <w:basedOn w:val="Normal"/>
    <w:next w:val="Normal"/>
    <w:link w:val="DateCar"/>
    <w:rsid w:val="00F42774"/>
  </w:style>
  <w:style w:type="character" w:customStyle="1" w:styleId="DateCar">
    <w:name w:val="Date Car"/>
    <w:basedOn w:val="Policepardfaut"/>
    <w:link w:val="Date"/>
    <w:rsid w:val="00F42774"/>
    <w:rPr>
      <w:sz w:val="24"/>
      <w:szCs w:val="24"/>
    </w:rPr>
  </w:style>
  <w:style w:type="character" w:styleId="DfinitionHTML">
    <w:name w:val="HTML Definition"/>
    <w:rsid w:val="00F42774"/>
    <w:rPr>
      <w:i/>
      <w:iCs/>
      <w:dstrike w:val="0"/>
      <w:effect w:val="none"/>
    </w:rPr>
  </w:style>
  <w:style w:type="table" w:styleId="Effetsdetableau3D2">
    <w:name w:val="Table 3D effects 2"/>
    <w:basedOn w:val="TableauNormal"/>
    <w:rsid w:val="00F4277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F4277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F4277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F4277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F42774"/>
    <w:rPr>
      <w:b/>
      <w:bCs/>
      <w:dstrike w:val="0"/>
      <w:effect w:val="none"/>
    </w:rPr>
  </w:style>
  <w:style w:type="paragraph" w:styleId="En-ttedemessage">
    <w:name w:val="Message Header"/>
    <w:basedOn w:val="Normal"/>
    <w:link w:val="En-ttedemessageCar"/>
    <w:rsid w:val="00F4277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En-ttedemessageCar">
    <w:name w:val="En-tête de message Car"/>
    <w:basedOn w:val="Policepardfaut"/>
    <w:link w:val="En-ttedemessage"/>
    <w:rsid w:val="00F42774"/>
    <w:rPr>
      <w:rFonts w:ascii="Arial" w:hAnsi="Arial" w:cs="Arial"/>
      <w:sz w:val="24"/>
      <w:szCs w:val="24"/>
      <w:shd w:val="pct20" w:color="auto" w:fill="auto"/>
    </w:rPr>
  </w:style>
  <w:style w:type="character" w:styleId="ExempleHTML">
    <w:name w:val="HTML Sample"/>
    <w:rsid w:val="00F42774"/>
    <w:rPr>
      <w:rFonts w:ascii="Courier New" w:hAnsi="Courier New" w:cs="Courier New"/>
      <w:dstrike w:val="0"/>
      <w:effect w:val="none"/>
    </w:rPr>
  </w:style>
  <w:style w:type="paragraph" w:styleId="Explorateurdedocuments">
    <w:name w:val="Document Map"/>
    <w:basedOn w:val="Normal"/>
    <w:link w:val="ExplorateurdedocumentsCar"/>
    <w:rsid w:val="00F42774"/>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rsid w:val="00F42774"/>
    <w:rPr>
      <w:rFonts w:ascii="Tahoma" w:hAnsi="Tahoma" w:cs="Tahoma"/>
      <w:shd w:val="clear" w:color="auto" w:fill="000080"/>
    </w:rPr>
  </w:style>
  <w:style w:type="paragraph" w:styleId="Formuledepolitesse">
    <w:name w:val="Closing"/>
    <w:basedOn w:val="Normal"/>
    <w:link w:val="FormuledepolitesseCar"/>
    <w:rsid w:val="00F42774"/>
    <w:pPr>
      <w:ind w:left="4252"/>
    </w:pPr>
  </w:style>
  <w:style w:type="character" w:customStyle="1" w:styleId="FormuledepolitesseCar">
    <w:name w:val="Formule de politesse Car"/>
    <w:basedOn w:val="Policepardfaut"/>
    <w:link w:val="Formuledepolitesse"/>
    <w:rsid w:val="00F42774"/>
    <w:rPr>
      <w:sz w:val="24"/>
      <w:szCs w:val="24"/>
    </w:rPr>
  </w:style>
  <w:style w:type="table" w:styleId="Grilledetableau1">
    <w:name w:val="Table Grid 1"/>
    <w:basedOn w:val="TableauNormal"/>
    <w:rsid w:val="00F4277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F4277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F4277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F4277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F4277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F4277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F4277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F4277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Index3">
    <w:name w:val="index 3"/>
    <w:basedOn w:val="Normal"/>
    <w:next w:val="Normal"/>
    <w:autoRedefine/>
    <w:rsid w:val="00F42774"/>
    <w:pPr>
      <w:ind w:left="720" w:hanging="240"/>
    </w:pPr>
  </w:style>
  <w:style w:type="paragraph" w:styleId="Index4">
    <w:name w:val="index 4"/>
    <w:basedOn w:val="Normal"/>
    <w:next w:val="Normal"/>
    <w:autoRedefine/>
    <w:rsid w:val="00F42774"/>
    <w:pPr>
      <w:ind w:left="960" w:hanging="240"/>
    </w:pPr>
  </w:style>
  <w:style w:type="paragraph" w:styleId="Index5">
    <w:name w:val="index 5"/>
    <w:basedOn w:val="Normal"/>
    <w:next w:val="Normal"/>
    <w:autoRedefine/>
    <w:rsid w:val="00F42774"/>
    <w:pPr>
      <w:ind w:left="1200" w:hanging="240"/>
    </w:pPr>
  </w:style>
  <w:style w:type="paragraph" w:styleId="Index6">
    <w:name w:val="index 6"/>
    <w:basedOn w:val="Normal"/>
    <w:next w:val="Normal"/>
    <w:autoRedefine/>
    <w:rsid w:val="00F42774"/>
    <w:pPr>
      <w:ind w:left="1440" w:hanging="240"/>
    </w:pPr>
  </w:style>
  <w:style w:type="paragraph" w:styleId="Index7">
    <w:name w:val="index 7"/>
    <w:basedOn w:val="Normal"/>
    <w:next w:val="Normal"/>
    <w:autoRedefine/>
    <w:rsid w:val="00F42774"/>
    <w:pPr>
      <w:ind w:left="1680" w:hanging="240"/>
    </w:pPr>
  </w:style>
  <w:style w:type="paragraph" w:styleId="Index8">
    <w:name w:val="index 8"/>
    <w:basedOn w:val="Normal"/>
    <w:next w:val="Normal"/>
    <w:autoRedefine/>
    <w:rsid w:val="00F42774"/>
    <w:pPr>
      <w:ind w:left="1920" w:hanging="240"/>
    </w:pPr>
  </w:style>
  <w:style w:type="paragraph" w:styleId="Index9">
    <w:name w:val="index 9"/>
    <w:basedOn w:val="Normal"/>
    <w:next w:val="Normal"/>
    <w:autoRedefine/>
    <w:rsid w:val="00F42774"/>
    <w:pPr>
      <w:ind w:left="2160" w:hanging="240"/>
    </w:pPr>
  </w:style>
  <w:style w:type="paragraph" w:styleId="Lgende">
    <w:name w:val="caption"/>
    <w:basedOn w:val="Normal"/>
    <w:next w:val="Normal"/>
    <w:qFormat/>
    <w:rsid w:val="00F42774"/>
    <w:rPr>
      <w:b/>
      <w:bCs/>
      <w:sz w:val="20"/>
      <w:szCs w:val="20"/>
    </w:rPr>
  </w:style>
  <w:style w:type="paragraph" w:styleId="Liste">
    <w:name w:val="List"/>
    <w:basedOn w:val="Normal"/>
    <w:rsid w:val="00F42774"/>
    <w:pPr>
      <w:ind w:left="283" w:hanging="283"/>
    </w:pPr>
  </w:style>
  <w:style w:type="paragraph" w:styleId="Liste2">
    <w:name w:val="List 2"/>
    <w:basedOn w:val="Normal"/>
    <w:rsid w:val="00F42774"/>
    <w:pPr>
      <w:ind w:left="566" w:hanging="283"/>
    </w:pPr>
  </w:style>
  <w:style w:type="paragraph" w:styleId="Liste3">
    <w:name w:val="List 3"/>
    <w:basedOn w:val="Normal"/>
    <w:rsid w:val="00F42774"/>
    <w:pPr>
      <w:ind w:left="849" w:hanging="283"/>
    </w:pPr>
  </w:style>
  <w:style w:type="paragraph" w:styleId="Liste4">
    <w:name w:val="List 4"/>
    <w:basedOn w:val="Normal"/>
    <w:rsid w:val="00F42774"/>
    <w:pPr>
      <w:ind w:left="1132" w:hanging="283"/>
    </w:pPr>
  </w:style>
  <w:style w:type="paragraph" w:styleId="Liste5">
    <w:name w:val="List 5"/>
    <w:basedOn w:val="Normal"/>
    <w:rsid w:val="00F42774"/>
    <w:pPr>
      <w:ind w:left="1415" w:hanging="283"/>
    </w:pPr>
  </w:style>
  <w:style w:type="paragraph" w:styleId="Listenumros">
    <w:name w:val="List Number"/>
    <w:basedOn w:val="Normal"/>
    <w:rsid w:val="00F42774"/>
    <w:pPr>
      <w:numPr>
        <w:numId w:val="11"/>
      </w:numPr>
    </w:pPr>
  </w:style>
  <w:style w:type="paragraph" w:styleId="Listenumros2">
    <w:name w:val="List Number 2"/>
    <w:basedOn w:val="Normal"/>
    <w:rsid w:val="00F42774"/>
    <w:pPr>
      <w:numPr>
        <w:numId w:val="12"/>
      </w:numPr>
    </w:pPr>
  </w:style>
  <w:style w:type="paragraph" w:styleId="Listenumros3">
    <w:name w:val="List Number 3"/>
    <w:basedOn w:val="Normal"/>
    <w:rsid w:val="00F42774"/>
    <w:pPr>
      <w:numPr>
        <w:numId w:val="13"/>
      </w:numPr>
    </w:pPr>
  </w:style>
  <w:style w:type="paragraph" w:styleId="Listenumros4">
    <w:name w:val="List Number 4"/>
    <w:basedOn w:val="Normal"/>
    <w:rsid w:val="00F42774"/>
    <w:pPr>
      <w:numPr>
        <w:numId w:val="14"/>
      </w:numPr>
    </w:pPr>
  </w:style>
  <w:style w:type="paragraph" w:styleId="Listenumros5">
    <w:name w:val="List Number 5"/>
    <w:basedOn w:val="Normal"/>
    <w:rsid w:val="00F42774"/>
    <w:pPr>
      <w:numPr>
        <w:numId w:val="15"/>
      </w:numPr>
    </w:pPr>
  </w:style>
  <w:style w:type="paragraph" w:styleId="Listepuces">
    <w:name w:val="List Bullet"/>
    <w:basedOn w:val="Normal"/>
    <w:rsid w:val="00F42774"/>
    <w:pPr>
      <w:numPr>
        <w:numId w:val="16"/>
      </w:numPr>
    </w:pPr>
  </w:style>
  <w:style w:type="paragraph" w:styleId="Listepuces2">
    <w:name w:val="List Bullet 2"/>
    <w:basedOn w:val="Normal"/>
    <w:rsid w:val="00F42774"/>
    <w:pPr>
      <w:numPr>
        <w:numId w:val="17"/>
      </w:numPr>
    </w:pPr>
  </w:style>
  <w:style w:type="paragraph" w:styleId="Listepuces3">
    <w:name w:val="List Bullet 3"/>
    <w:basedOn w:val="Normal"/>
    <w:rsid w:val="00F42774"/>
    <w:pPr>
      <w:numPr>
        <w:numId w:val="18"/>
      </w:numPr>
    </w:pPr>
  </w:style>
  <w:style w:type="paragraph" w:styleId="Listepuces4">
    <w:name w:val="List Bullet 4"/>
    <w:basedOn w:val="Normal"/>
    <w:rsid w:val="00F42774"/>
    <w:pPr>
      <w:numPr>
        <w:numId w:val="19"/>
      </w:numPr>
    </w:pPr>
  </w:style>
  <w:style w:type="paragraph" w:styleId="Listepuces5">
    <w:name w:val="List Bullet 5"/>
    <w:basedOn w:val="Normal"/>
    <w:rsid w:val="00F42774"/>
    <w:pPr>
      <w:numPr>
        <w:numId w:val="20"/>
      </w:numPr>
    </w:pPr>
  </w:style>
  <w:style w:type="paragraph" w:styleId="Listecontinue">
    <w:name w:val="List Continue"/>
    <w:basedOn w:val="Normal"/>
    <w:rsid w:val="00F42774"/>
    <w:pPr>
      <w:spacing w:after="120"/>
      <w:ind w:left="283"/>
    </w:pPr>
  </w:style>
  <w:style w:type="paragraph" w:styleId="Listecontinue2">
    <w:name w:val="List Continue 2"/>
    <w:basedOn w:val="Normal"/>
    <w:rsid w:val="00F42774"/>
    <w:pPr>
      <w:spacing w:after="120"/>
      <w:ind w:left="566"/>
    </w:pPr>
  </w:style>
  <w:style w:type="paragraph" w:styleId="Listecontinue3">
    <w:name w:val="List Continue 3"/>
    <w:basedOn w:val="Normal"/>
    <w:rsid w:val="00F42774"/>
    <w:pPr>
      <w:spacing w:after="120"/>
      <w:ind w:left="849"/>
    </w:pPr>
  </w:style>
  <w:style w:type="paragraph" w:styleId="Listecontinue4">
    <w:name w:val="List Continue 4"/>
    <w:basedOn w:val="Normal"/>
    <w:rsid w:val="00F42774"/>
    <w:pPr>
      <w:spacing w:after="120"/>
      <w:ind w:left="1132"/>
    </w:pPr>
  </w:style>
  <w:style w:type="paragraph" w:styleId="Listecontinue5">
    <w:name w:val="List Continue 5"/>
    <w:basedOn w:val="Normal"/>
    <w:rsid w:val="00F42774"/>
    <w:pPr>
      <w:spacing w:after="120"/>
      <w:ind w:left="1415"/>
    </w:pPr>
  </w:style>
  <w:style w:type="character" w:styleId="MachinecrireHTML">
    <w:name w:val="HTML Typewriter"/>
    <w:rsid w:val="00F42774"/>
    <w:rPr>
      <w:rFonts w:ascii="Courier New" w:hAnsi="Courier New" w:cs="Courier New"/>
      <w:dstrike w:val="0"/>
      <w:sz w:val="20"/>
      <w:szCs w:val="20"/>
      <w:effect w:val="none"/>
    </w:rPr>
  </w:style>
  <w:style w:type="character" w:styleId="Marquedecommentaire">
    <w:name w:val="annotation reference"/>
    <w:rsid w:val="00F42774"/>
    <w:rPr>
      <w:dstrike w:val="0"/>
      <w:sz w:val="16"/>
      <w:szCs w:val="16"/>
      <w:effect w:val="none"/>
    </w:rPr>
  </w:style>
  <w:style w:type="paragraph" w:styleId="NormalWeb">
    <w:name w:val="Normal (Web)"/>
    <w:basedOn w:val="Normal"/>
    <w:rsid w:val="00F42774"/>
  </w:style>
  <w:style w:type="paragraph" w:styleId="Normalcentr">
    <w:name w:val="Block Text"/>
    <w:basedOn w:val="Normal"/>
    <w:rsid w:val="00F42774"/>
    <w:pPr>
      <w:spacing w:after="120"/>
      <w:ind w:left="1440" w:right="1440"/>
    </w:pPr>
  </w:style>
  <w:style w:type="paragraph" w:styleId="Notedefin">
    <w:name w:val="endnote text"/>
    <w:basedOn w:val="Normal"/>
    <w:link w:val="NotedefinCar"/>
    <w:rsid w:val="00F42774"/>
    <w:rPr>
      <w:sz w:val="20"/>
      <w:szCs w:val="20"/>
    </w:rPr>
  </w:style>
  <w:style w:type="character" w:customStyle="1" w:styleId="NotedefinCar">
    <w:name w:val="Note de fin Car"/>
    <w:basedOn w:val="Policepardfaut"/>
    <w:link w:val="Notedefin"/>
    <w:rsid w:val="00F42774"/>
  </w:style>
  <w:style w:type="character" w:styleId="Numrodeligne">
    <w:name w:val="line number"/>
    <w:basedOn w:val="Policepardfaut"/>
    <w:rsid w:val="00F42774"/>
    <w:rPr>
      <w:dstrike w:val="0"/>
      <w:effect w:val="none"/>
    </w:rPr>
  </w:style>
  <w:style w:type="paragraph" w:styleId="Objetducommentaire">
    <w:name w:val="annotation subject"/>
    <w:basedOn w:val="Commentaire"/>
    <w:next w:val="Commentaire"/>
    <w:link w:val="ObjetducommentaireCar"/>
    <w:rsid w:val="00F42774"/>
    <w:rPr>
      <w:b/>
      <w:bCs/>
    </w:rPr>
  </w:style>
  <w:style w:type="character" w:customStyle="1" w:styleId="ObjetducommentaireCar">
    <w:name w:val="Objet du commentaire Car"/>
    <w:basedOn w:val="CommentaireCar"/>
    <w:link w:val="Objetducommentaire"/>
    <w:rsid w:val="00F42774"/>
    <w:rPr>
      <w:b/>
      <w:bCs/>
    </w:rPr>
  </w:style>
  <w:style w:type="table" w:styleId="Tableauple1">
    <w:name w:val="Table Subtle 1"/>
    <w:basedOn w:val="TableauNormal"/>
    <w:rsid w:val="00F4277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rsid w:val="00F4277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rsid w:val="00F42774"/>
    <w:rPr>
      <w:rFonts w:ascii="Courier New" w:hAnsi="Courier New" w:cs="Courier New"/>
      <w:sz w:val="20"/>
      <w:szCs w:val="20"/>
    </w:rPr>
  </w:style>
  <w:style w:type="character" w:customStyle="1" w:styleId="PrformatHTMLCar">
    <w:name w:val="Préformaté HTML Car"/>
    <w:basedOn w:val="Policepardfaut"/>
    <w:link w:val="PrformatHTML"/>
    <w:rsid w:val="00F42774"/>
    <w:rPr>
      <w:rFonts w:ascii="Courier New" w:hAnsi="Courier New" w:cs="Courier New"/>
    </w:rPr>
  </w:style>
  <w:style w:type="table" w:styleId="Tableauprofessionnel">
    <w:name w:val="Table Professional"/>
    <w:basedOn w:val="TableauNormal"/>
    <w:rsid w:val="00F4277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link w:val="Retrait1religneCar"/>
    <w:rsid w:val="00F42774"/>
    <w:pPr>
      <w:keepLines w:val="0"/>
      <w:spacing w:before="0" w:after="120" w:line="240" w:lineRule="auto"/>
      <w:ind w:firstLine="210"/>
      <w:jc w:val="left"/>
    </w:pPr>
    <w:rPr>
      <w:rFonts w:eastAsia="Times New Roman"/>
      <w:sz w:val="24"/>
      <w:szCs w:val="24"/>
    </w:rPr>
  </w:style>
  <w:style w:type="character" w:customStyle="1" w:styleId="Retrait1religneCar">
    <w:name w:val="Retrait 1re ligne Car"/>
    <w:basedOn w:val="CorpsdetexteCar"/>
    <w:link w:val="Retrait1religne"/>
    <w:rsid w:val="00F42774"/>
    <w:rPr>
      <w:rFonts w:eastAsia="Times"/>
      <w:sz w:val="24"/>
      <w:szCs w:val="24"/>
    </w:rPr>
  </w:style>
  <w:style w:type="paragraph" w:styleId="Retraitcorpsdetexte">
    <w:name w:val="Body Text Indent"/>
    <w:basedOn w:val="Normal"/>
    <w:link w:val="RetraitcorpsdetexteCar"/>
    <w:rsid w:val="00F42774"/>
    <w:pPr>
      <w:spacing w:after="120"/>
      <w:ind w:left="283"/>
    </w:pPr>
  </w:style>
  <w:style w:type="character" w:customStyle="1" w:styleId="RetraitcorpsdetexteCar">
    <w:name w:val="Retrait corps de texte Car"/>
    <w:basedOn w:val="Policepardfaut"/>
    <w:link w:val="Retraitcorpsdetexte"/>
    <w:rsid w:val="00F42774"/>
    <w:rPr>
      <w:sz w:val="24"/>
      <w:szCs w:val="24"/>
    </w:rPr>
  </w:style>
  <w:style w:type="paragraph" w:styleId="Retraitcorpsdetexte2">
    <w:name w:val="Body Text Indent 2"/>
    <w:basedOn w:val="Normal"/>
    <w:link w:val="Retraitcorpsdetexte2Car"/>
    <w:rsid w:val="00F42774"/>
    <w:pPr>
      <w:spacing w:after="120" w:line="480" w:lineRule="auto"/>
      <w:ind w:left="283"/>
    </w:pPr>
  </w:style>
  <w:style w:type="character" w:customStyle="1" w:styleId="Retraitcorpsdetexte2Car">
    <w:name w:val="Retrait corps de texte 2 Car"/>
    <w:basedOn w:val="Policepardfaut"/>
    <w:link w:val="Retraitcorpsdetexte2"/>
    <w:rsid w:val="00F42774"/>
    <w:rPr>
      <w:sz w:val="24"/>
      <w:szCs w:val="24"/>
    </w:rPr>
  </w:style>
  <w:style w:type="paragraph" w:styleId="Retraitcorpsdetexte3">
    <w:name w:val="Body Text Indent 3"/>
    <w:basedOn w:val="Normal"/>
    <w:link w:val="Retraitcorpsdetexte3Car"/>
    <w:rsid w:val="00F42774"/>
    <w:pPr>
      <w:spacing w:after="120"/>
      <w:ind w:left="283"/>
    </w:pPr>
    <w:rPr>
      <w:sz w:val="16"/>
      <w:szCs w:val="16"/>
    </w:rPr>
  </w:style>
  <w:style w:type="character" w:customStyle="1" w:styleId="Retraitcorpsdetexte3Car">
    <w:name w:val="Retrait corps de texte 3 Car"/>
    <w:basedOn w:val="Policepardfaut"/>
    <w:link w:val="Retraitcorpsdetexte3"/>
    <w:rsid w:val="00F42774"/>
    <w:rPr>
      <w:sz w:val="16"/>
      <w:szCs w:val="16"/>
    </w:rPr>
  </w:style>
  <w:style w:type="paragraph" w:styleId="Retraitcorpset1relig">
    <w:name w:val="Body Text First Indent 2"/>
    <w:basedOn w:val="Retraitcorpsdetexte"/>
    <w:link w:val="Retraitcorpset1religCar"/>
    <w:rsid w:val="00F42774"/>
    <w:pPr>
      <w:ind w:firstLine="210"/>
    </w:pPr>
  </w:style>
  <w:style w:type="character" w:customStyle="1" w:styleId="Retraitcorpset1religCar">
    <w:name w:val="Retrait corps et 1re lig. Car"/>
    <w:basedOn w:val="RetraitcorpsdetexteCar"/>
    <w:link w:val="Retraitcorpset1relig"/>
    <w:rsid w:val="00F42774"/>
    <w:rPr>
      <w:sz w:val="24"/>
      <w:szCs w:val="24"/>
    </w:rPr>
  </w:style>
  <w:style w:type="paragraph" w:styleId="Retraitnormal">
    <w:name w:val="Normal Indent"/>
    <w:basedOn w:val="Normal"/>
    <w:rsid w:val="00F42774"/>
    <w:pPr>
      <w:ind w:left="708"/>
    </w:pPr>
  </w:style>
  <w:style w:type="paragraph" w:styleId="Salutations">
    <w:name w:val="Salutation"/>
    <w:basedOn w:val="Normal"/>
    <w:next w:val="Normal"/>
    <w:link w:val="SalutationsCar"/>
    <w:rsid w:val="00F42774"/>
  </w:style>
  <w:style w:type="character" w:customStyle="1" w:styleId="SalutationsCar">
    <w:name w:val="Salutations Car"/>
    <w:basedOn w:val="Policepardfaut"/>
    <w:link w:val="Salutations"/>
    <w:rsid w:val="00F42774"/>
    <w:rPr>
      <w:sz w:val="24"/>
      <w:szCs w:val="24"/>
    </w:rPr>
  </w:style>
  <w:style w:type="paragraph" w:styleId="Signature">
    <w:name w:val="Signature"/>
    <w:basedOn w:val="Normal"/>
    <w:link w:val="SignatureCar"/>
    <w:rsid w:val="00F42774"/>
    <w:pPr>
      <w:ind w:left="4252"/>
    </w:pPr>
  </w:style>
  <w:style w:type="character" w:customStyle="1" w:styleId="SignatureCar">
    <w:name w:val="Signature Car"/>
    <w:basedOn w:val="Policepardfaut"/>
    <w:link w:val="Signature"/>
    <w:rsid w:val="00F42774"/>
    <w:rPr>
      <w:sz w:val="24"/>
      <w:szCs w:val="24"/>
    </w:rPr>
  </w:style>
  <w:style w:type="paragraph" w:styleId="Signaturelectronique">
    <w:name w:val="E-mail Signature"/>
    <w:basedOn w:val="Normal"/>
    <w:link w:val="SignaturelectroniqueCar"/>
    <w:rsid w:val="00F42774"/>
  </w:style>
  <w:style w:type="character" w:customStyle="1" w:styleId="SignaturelectroniqueCar">
    <w:name w:val="Signature électronique Car"/>
    <w:basedOn w:val="Policepardfaut"/>
    <w:link w:val="Signaturelectronique"/>
    <w:rsid w:val="00F42774"/>
    <w:rPr>
      <w:sz w:val="24"/>
      <w:szCs w:val="24"/>
    </w:rPr>
  </w:style>
  <w:style w:type="table" w:styleId="Tableausimple1">
    <w:name w:val="Table Simple 1"/>
    <w:basedOn w:val="TableauNormal"/>
    <w:rsid w:val="00F4277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rsid w:val="00F4277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rsid w:val="00F4277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T-Entrainement">
    <w:name w:val="T-Entrainement"/>
    <w:basedOn w:val="AncienT1"/>
    <w:qFormat/>
    <w:rsid w:val="00F42774"/>
    <w:pPr>
      <w:numPr>
        <w:numId w:val="35"/>
      </w:numPr>
    </w:pPr>
  </w:style>
  <w:style w:type="paragraph" w:styleId="Tabledesillustrations">
    <w:name w:val="table of figures"/>
    <w:basedOn w:val="Normal"/>
    <w:next w:val="Normal"/>
    <w:rsid w:val="00F42774"/>
  </w:style>
  <w:style w:type="paragraph" w:styleId="Tabledesrfrencesjuridiques">
    <w:name w:val="table of authorities"/>
    <w:basedOn w:val="Normal"/>
    <w:next w:val="Normal"/>
    <w:rsid w:val="00F42774"/>
    <w:pPr>
      <w:ind w:left="240" w:hanging="240"/>
    </w:pPr>
  </w:style>
  <w:style w:type="table" w:styleId="Tableauliste1">
    <w:name w:val="Table List 1"/>
    <w:basedOn w:val="TableauNormal"/>
    <w:rsid w:val="00F4277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rsid w:val="00F4277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rsid w:val="00F4277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rsid w:val="00F4277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rsid w:val="00F4277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rsid w:val="00F4277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rsid w:val="00F4277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rsid w:val="00F4277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link w:val="TextebrutCar"/>
    <w:rsid w:val="00F42774"/>
    <w:rPr>
      <w:rFonts w:ascii="Courier New" w:hAnsi="Courier New" w:cs="Courier New"/>
      <w:sz w:val="20"/>
      <w:szCs w:val="20"/>
    </w:rPr>
  </w:style>
  <w:style w:type="character" w:customStyle="1" w:styleId="TextebrutCar">
    <w:name w:val="Texte brut Car"/>
    <w:basedOn w:val="Policepardfaut"/>
    <w:link w:val="Textebrut"/>
    <w:rsid w:val="00F42774"/>
    <w:rPr>
      <w:rFonts w:ascii="Courier New" w:hAnsi="Courier New" w:cs="Courier New"/>
    </w:rPr>
  </w:style>
  <w:style w:type="paragraph" w:styleId="Textedebulles">
    <w:name w:val="Balloon Text"/>
    <w:basedOn w:val="Normal"/>
    <w:link w:val="TextedebullesCar"/>
    <w:rsid w:val="00F42774"/>
    <w:rPr>
      <w:rFonts w:ascii="Tahoma" w:hAnsi="Tahoma" w:cs="Tahoma"/>
      <w:sz w:val="16"/>
      <w:szCs w:val="16"/>
    </w:rPr>
  </w:style>
  <w:style w:type="character" w:customStyle="1" w:styleId="TextedebullesCar">
    <w:name w:val="Texte de bulles Car"/>
    <w:basedOn w:val="Policepardfaut"/>
    <w:link w:val="Textedebulles"/>
    <w:rsid w:val="00F42774"/>
    <w:rPr>
      <w:rFonts w:ascii="Tahoma" w:hAnsi="Tahoma" w:cs="Tahoma"/>
      <w:sz w:val="16"/>
      <w:szCs w:val="16"/>
    </w:rPr>
  </w:style>
  <w:style w:type="paragraph" w:styleId="Textedemacro">
    <w:name w:val="macro"/>
    <w:link w:val="TextedemacroCar"/>
    <w:rsid w:val="00F4277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rsid w:val="00F42774"/>
    <w:rPr>
      <w:rFonts w:ascii="Courier New" w:hAnsi="Courier New" w:cs="Courier New"/>
    </w:rPr>
  </w:style>
  <w:style w:type="table" w:styleId="Thmedutableau">
    <w:name w:val="Table Theme"/>
    <w:basedOn w:val="TableauNormal"/>
    <w:rsid w:val="00F427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link w:val="TitreCar"/>
    <w:qFormat/>
    <w:rsid w:val="00F42774"/>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F42774"/>
    <w:rPr>
      <w:rFonts w:ascii="Arial" w:hAnsi="Arial" w:cs="Arial"/>
      <w:b/>
      <w:bCs/>
      <w:kern w:val="28"/>
      <w:sz w:val="32"/>
      <w:szCs w:val="32"/>
    </w:rPr>
  </w:style>
  <w:style w:type="paragraph" w:styleId="Titredenote">
    <w:name w:val="Note Heading"/>
    <w:basedOn w:val="Normal"/>
    <w:next w:val="Normal"/>
    <w:link w:val="TitredenoteCar"/>
    <w:rsid w:val="00F42774"/>
  </w:style>
  <w:style w:type="character" w:customStyle="1" w:styleId="TitredenoteCar">
    <w:name w:val="Titre de note Car"/>
    <w:basedOn w:val="Policepardfaut"/>
    <w:link w:val="Titredenote"/>
    <w:rsid w:val="00F42774"/>
    <w:rPr>
      <w:sz w:val="24"/>
      <w:szCs w:val="24"/>
    </w:rPr>
  </w:style>
  <w:style w:type="paragraph" w:styleId="Titreindex">
    <w:name w:val="index heading"/>
    <w:basedOn w:val="Normal"/>
    <w:next w:val="Index1"/>
    <w:rsid w:val="00F42774"/>
    <w:rPr>
      <w:rFonts w:ascii="Arial" w:hAnsi="Arial" w:cs="Arial"/>
      <w:b/>
      <w:bCs/>
    </w:rPr>
  </w:style>
  <w:style w:type="paragraph" w:styleId="TitreTR">
    <w:name w:val="toa heading"/>
    <w:basedOn w:val="Normal"/>
    <w:next w:val="Normal"/>
    <w:rsid w:val="00F42774"/>
    <w:pPr>
      <w:spacing w:before="120"/>
    </w:pPr>
    <w:rPr>
      <w:rFonts w:ascii="Arial" w:hAnsi="Arial" w:cs="Arial"/>
      <w:b/>
      <w:bCs/>
    </w:rPr>
  </w:style>
  <w:style w:type="character" w:styleId="VariableHTML">
    <w:name w:val="HTML Variable"/>
    <w:rsid w:val="00F42774"/>
    <w:rPr>
      <w:i/>
      <w:iCs/>
      <w:dstrike w:val="0"/>
      <w:effect w:val="none"/>
    </w:rPr>
  </w:style>
  <w:style w:type="table" w:styleId="Tableauweb1">
    <w:name w:val="Table Web 1"/>
    <w:basedOn w:val="TableauNormal"/>
    <w:rsid w:val="00F4277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rsid w:val="00F4277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F4277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erienum">
    <w:name w:val="Serie_num"/>
    <w:rsid w:val="00F42774"/>
    <w:pPr>
      <w:numPr>
        <w:ilvl w:val="7"/>
        <w:numId w:val="27"/>
      </w:numPr>
    </w:pPr>
    <w:rPr>
      <w:rFonts w:ascii="Helvetica" w:hAnsi="Helvetica"/>
      <w:b/>
      <w:smallCaps/>
      <w:sz w:val="36"/>
      <w:szCs w:val="24"/>
    </w:rPr>
  </w:style>
  <w:style w:type="paragraph" w:customStyle="1" w:styleId="Concept">
    <w:name w:val="Concept"/>
    <w:basedOn w:val="CT"/>
    <w:next w:val="CT"/>
    <w:rsid w:val="00F42774"/>
    <w:rPr>
      <w:b/>
      <w:i/>
      <w:color w:val="FF0000"/>
    </w:rPr>
  </w:style>
  <w:style w:type="paragraph" w:customStyle="1" w:styleId="TPlanAnnuel">
    <w:name w:val="T_PlanAnnuel"/>
    <w:basedOn w:val="CT"/>
    <w:rsid w:val="00F42774"/>
    <w:rPr>
      <w:b/>
      <w:sz w:val="32"/>
    </w:rPr>
  </w:style>
  <w:style w:type="paragraph" w:customStyle="1" w:styleId="TssSerie">
    <w:name w:val="T_ssSerie"/>
    <w:next w:val="AncienT1"/>
    <w:rsid w:val="00F42774"/>
    <w:pPr>
      <w:numPr>
        <w:ilvl w:val="6"/>
        <w:numId w:val="6"/>
      </w:numPr>
      <w:jc w:val="center"/>
      <w:outlineLvl w:val="6"/>
    </w:pPr>
    <w:rPr>
      <w:rFonts w:ascii="Helvetica" w:hAnsi="Helvetica"/>
      <w:b/>
      <w:smallCaps/>
      <w:sz w:val="44"/>
      <w:szCs w:val="24"/>
    </w:rPr>
  </w:style>
  <w:style w:type="paragraph" w:customStyle="1" w:styleId="TabListe1">
    <w:name w:val="Tab_Liste1"/>
    <w:rsid w:val="00F42774"/>
    <w:pPr>
      <w:numPr>
        <w:numId w:val="24"/>
      </w:numPr>
      <w:tabs>
        <w:tab w:val="left" w:pos="567"/>
      </w:tabs>
    </w:pPr>
    <w:rPr>
      <w:rFonts w:ascii="Helvetica" w:hAnsi="Helvetica"/>
      <w:sz w:val="18"/>
      <w:szCs w:val="24"/>
    </w:rPr>
  </w:style>
  <w:style w:type="paragraph" w:customStyle="1" w:styleId="TabListe1Suite">
    <w:name w:val="Tab_Liste1Suite"/>
    <w:basedOn w:val="ETS"/>
    <w:rsid w:val="00F42774"/>
    <w:pPr>
      <w:ind w:left="170"/>
    </w:pPr>
    <w:rPr>
      <w:sz w:val="18"/>
    </w:rPr>
  </w:style>
  <w:style w:type="paragraph" w:customStyle="1" w:styleId="TabListe2">
    <w:name w:val="Tab_Liste2"/>
    <w:basedOn w:val="SEP"/>
    <w:rsid w:val="00F42774"/>
    <w:pPr>
      <w:numPr>
        <w:ilvl w:val="0"/>
        <w:numId w:val="25"/>
      </w:numPr>
    </w:pPr>
    <w:rPr>
      <w:sz w:val="18"/>
    </w:rPr>
  </w:style>
  <w:style w:type="paragraph" w:customStyle="1" w:styleId="TabListe2Suite">
    <w:name w:val="Tab_Liste2Suite"/>
    <w:basedOn w:val="TabListe2"/>
    <w:rsid w:val="00F42774"/>
    <w:pPr>
      <w:numPr>
        <w:numId w:val="0"/>
      </w:numPr>
      <w:ind w:left="340"/>
    </w:pPr>
  </w:style>
  <w:style w:type="paragraph" w:customStyle="1" w:styleId="TNiv4">
    <w:name w:val="T_Niv4"/>
    <w:basedOn w:val="TNiv3"/>
    <w:next w:val="CT"/>
    <w:rsid w:val="00F42774"/>
    <w:pPr>
      <w:numPr>
        <w:numId w:val="31"/>
      </w:numPr>
    </w:pPr>
    <w:rPr>
      <w:sz w:val="18"/>
    </w:rPr>
  </w:style>
  <w:style w:type="paragraph" w:customStyle="1" w:styleId="TA-Commentaire">
    <w:name w:val="TA-Commentaire"/>
    <w:basedOn w:val="CT"/>
    <w:qFormat/>
    <w:rsid w:val="00F42774"/>
    <w:rPr>
      <w:color w:val="5F497A"/>
    </w:rPr>
  </w:style>
  <w:style w:type="paragraph" w:customStyle="1" w:styleId="TA5">
    <w:name w:val="TA5"/>
    <w:basedOn w:val="TA4"/>
    <w:qFormat/>
    <w:rsid w:val="00F42774"/>
  </w:style>
  <w:style w:type="paragraph" w:customStyle="1" w:styleId="TexteTestReponse">
    <w:name w:val="Texte_TestReponse"/>
    <w:basedOn w:val="TexteTestQuestion"/>
    <w:qFormat/>
    <w:rsid w:val="00F42774"/>
    <w:rPr>
      <w:color w:val="F79646" w:themeColor="accent6"/>
    </w:rPr>
  </w:style>
  <w:style w:type="character" w:customStyle="1" w:styleId="NTestProposition">
    <w:name w:val="N_TestProposition"/>
    <w:basedOn w:val="NTestQuestion"/>
    <w:uiPriority w:val="1"/>
    <w:qFormat/>
    <w:rsid w:val="00F42774"/>
    <w:rPr>
      <w:b/>
      <w:strike w:val="0"/>
      <w:dstrike w:val="0"/>
      <w:color w:val="FF33CC"/>
      <w:effect w:val="none"/>
      <w:vertAlign w:val="baseline"/>
    </w:rPr>
  </w:style>
  <w:style w:type="character" w:customStyle="1" w:styleId="Petit-Corps">
    <w:name w:val="Petit-Corps"/>
    <w:basedOn w:val="Policepardfaut"/>
    <w:uiPriority w:val="1"/>
    <w:qFormat/>
    <w:rsid w:val="00F42774"/>
    <w:rPr>
      <w:rFonts w:ascii="Helvetica" w:hAnsi="Helvetica"/>
      <w:strike w:val="0"/>
      <w:dstrike w:val="0"/>
      <w:sz w:val="14"/>
    </w:rPr>
  </w:style>
  <w:style w:type="paragraph" w:customStyle="1" w:styleId="TitreModule">
    <w:name w:val="TitreModule"/>
    <w:basedOn w:val="AncienT1"/>
    <w:qFormat/>
    <w:rsid w:val="00F42774"/>
    <w:pPr>
      <w:numPr>
        <w:numId w:val="40"/>
      </w:numPr>
    </w:pPr>
    <w:rPr>
      <w:smallCaps w:val="0"/>
      <w:color w:val="C0504D" w:themeColor="accent2"/>
    </w:rPr>
  </w:style>
  <w:style w:type="paragraph" w:customStyle="1" w:styleId="TConclusionPartie">
    <w:name w:val="T_ConclusionPartie"/>
    <w:basedOn w:val="TIntroPartie"/>
    <w:qFormat/>
    <w:rsid w:val="00F42774"/>
  </w:style>
  <w:style w:type="paragraph" w:customStyle="1" w:styleId="TableauCT6">
    <w:name w:val="Tableau_CT6"/>
    <w:basedOn w:val="CT6"/>
    <w:qFormat/>
    <w:rsid w:val="00F42774"/>
    <w:pPr>
      <w:ind w:left="0"/>
    </w:pPr>
  </w:style>
  <w:style w:type="paragraph" w:customStyle="1" w:styleId="TableauCTEspDessous">
    <w:name w:val="Tableau_CT_Esp_Dessous"/>
    <w:basedOn w:val="CTEspDessous"/>
    <w:qFormat/>
    <w:rsid w:val="00F42774"/>
    <w:pPr>
      <w:ind w:left="0"/>
    </w:pPr>
  </w:style>
  <w:style w:type="paragraph" w:customStyle="1" w:styleId="articleloiref">
    <w:name w:val="article_loi_ref"/>
    <w:qFormat/>
    <w:rsid w:val="00F42774"/>
    <w:pPr>
      <w:spacing w:after="120"/>
      <w:ind w:left="1701"/>
    </w:pPr>
    <w:rPr>
      <w:rFonts w:ascii="Helvetica" w:hAnsi="Helvetica"/>
      <w:b/>
      <w:i/>
      <w:szCs w:val="24"/>
    </w:rPr>
  </w:style>
  <w:style w:type="paragraph" w:customStyle="1" w:styleId="Tpartie">
    <w:name w:val="T_partie"/>
    <w:basedOn w:val="finfiletr"/>
    <w:qFormat/>
    <w:rsid w:val="00F42774"/>
    <w:pPr>
      <w:ind w:left="0"/>
    </w:pPr>
  </w:style>
  <w:style w:type="paragraph" w:customStyle="1" w:styleId="TexteEnonceQuestionET">
    <w:name w:val="Texte_EnonceQuestion_ET"/>
    <w:basedOn w:val="SEP"/>
    <w:qFormat/>
    <w:rsid w:val="00F42774"/>
    <w:pPr>
      <w:ind w:left="1871"/>
    </w:pPr>
    <w:rPr>
      <w:color w:val="993366"/>
    </w:rPr>
  </w:style>
  <w:style w:type="character" w:customStyle="1" w:styleId="SurligneIndex">
    <w:name w:val="Surligne_Index"/>
    <w:qFormat/>
    <w:rsid w:val="00F42774"/>
    <w:rPr>
      <w:strike w:val="0"/>
      <w:dstrike w:val="0"/>
      <w:u w:val="none"/>
      <w:bdr w:val="none" w:sz="0" w:space="0" w:color="auto"/>
      <w:shd w:val="clear" w:color="auto" w:fill="D6E3BC" w:themeFill="accent3" w:themeFillTint="66"/>
    </w:rPr>
  </w:style>
  <w:style w:type="paragraph" w:styleId="Bibliographie">
    <w:name w:val="Bibliography"/>
    <w:basedOn w:val="Normal"/>
    <w:next w:val="Normal"/>
    <w:uiPriority w:val="37"/>
    <w:semiHidden/>
    <w:unhideWhenUsed/>
    <w:rsid w:val="00F42774"/>
  </w:style>
  <w:style w:type="paragraph" w:styleId="Citation">
    <w:name w:val="Quote"/>
    <w:basedOn w:val="Normal"/>
    <w:next w:val="Normal"/>
    <w:link w:val="CitationCar"/>
    <w:uiPriority w:val="29"/>
    <w:qFormat/>
    <w:rsid w:val="00F42774"/>
    <w:rPr>
      <w:i/>
      <w:iCs/>
      <w:color w:val="000000" w:themeColor="text1"/>
    </w:rPr>
  </w:style>
  <w:style w:type="character" w:customStyle="1" w:styleId="CitationCar">
    <w:name w:val="Citation Car"/>
    <w:basedOn w:val="Policepardfaut"/>
    <w:link w:val="Citation"/>
    <w:uiPriority w:val="29"/>
    <w:rsid w:val="00F42774"/>
    <w:rPr>
      <w:i/>
      <w:iCs/>
      <w:color w:val="000000" w:themeColor="text1"/>
      <w:sz w:val="24"/>
      <w:szCs w:val="24"/>
    </w:rPr>
  </w:style>
  <w:style w:type="paragraph" w:styleId="Citationintense">
    <w:name w:val="Intense Quote"/>
    <w:basedOn w:val="Normal"/>
    <w:next w:val="Normal"/>
    <w:link w:val="CitationintenseCar"/>
    <w:uiPriority w:val="30"/>
    <w:qFormat/>
    <w:rsid w:val="00F42774"/>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42774"/>
    <w:rPr>
      <w:b/>
      <w:bCs/>
      <w:i/>
      <w:iCs/>
      <w:color w:val="4F81BD" w:themeColor="accent1"/>
      <w:sz w:val="24"/>
      <w:szCs w:val="24"/>
    </w:rPr>
  </w:style>
  <w:style w:type="character" w:styleId="Accentuationintense">
    <w:name w:val="Intense Emphasis"/>
    <w:basedOn w:val="Policepardfaut"/>
    <w:uiPriority w:val="21"/>
    <w:qFormat/>
    <w:rsid w:val="00F42774"/>
    <w:rPr>
      <w:b/>
      <w:bCs/>
      <w:i/>
      <w:iCs/>
      <w:dstrike w:val="0"/>
      <w:color w:val="4F81BD" w:themeColor="accent1"/>
    </w:rPr>
  </w:style>
  <w:style w:type="character" w:styleId="Accentuationlgre">
    <w:name w:val="Subtle Emphasis"/>
    <w:basedOn w:val="Policepardfaut"/>
    <w:uiPriority w:val="19"/>
    <w:qFormat/>
    <w:rsid w:val="00F42774"/>
    <w:rPr>
      <w:i/>
      <w:iCs/>
      <w:dstrike w:val="0"/>
      <w:color w:val="808080" w:themeColor="text1" w:themeTint="7F"/>
    </w:rPr>
  </w:style>
  <w:style w:type="paragraph" w:styleId="En-ttedetabledesmatires">
    <w:name w:val="TOC Heading"/>
    <w:basedOn w:val="Titre1"/>
    <w:next w:val="Normal"/>
    <w:uiPriority w:val="39"/>
    <w:semiHidden/>
    <w:unhideWhenUsed/>
    <w:qFormat/>
    <w:rsid w:val="00F42774"/>
    <w:pPr>
      <w:numPr>
        <w:numId w:val="0"/>
      </w:numPr>
      <w:tabs>
        <w:tab w:val="clear" w:pos="680"/>
      </w:tabs>
      <w:spacing w:before="480" w:line="240" w:lineRule="auto"/>
      <w:outlineLvl w:val="9"/>
    </w:pPr>
    <w:rPr>
      <w:rFonts w:asciiTheme="majorHAnsi" w:eastAsiaTheme="majorEastAsia" w:hAnsiTheme="majorHAnsi" w:cstheme="majorBidi"/>
      <w:bCs/>
      <w:caps w:val="0"/>
      <w:color w:val="365F91" w:themeColor="accent1" w:themeShade="BF"/>
      <w:sz w:val="28"/>
      <w:szCs w:val="28"/>
    </w:rPr>
  </w:style>
  <w:style w:type="table" w:styleId="Grilleclaire">
    <w:name w:val="Light Grid"/>
    <w:basedOn w:val="TableauNormal"/>
    <w:uiPriority w:val="62"/>
    <w:rsid w:val="00F4277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F4277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F4277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F4277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F42774"/>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F4277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F42774"/>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rillecouleur">
    <w:name w:val="Colorful Grid"/>
    <w:basedOn w:val="TableauNormal"/>
    <w:uiPriority w:val="73"/>
    <w:rsid w:val="00F4277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F42774"/>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F42774"/>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F42774"/>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F42774"/>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F42774"/>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F42774"/>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1">
    <w:name w:val="Medium Grid 1"/>
    <w:basedOn w:val="TableauNormal"/>
    <w:uiPriority w:val="67"/>
    <w:rsid w:val="00F4277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F4277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F42774"/>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F42774"/>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F42774"/>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F4277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F42774"/>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F42774"/>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F4277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F42774"/>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F42774"/>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F42774"/>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F42774"/>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F4277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F4277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F4277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F4277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F4277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F4277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F4277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F4277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claire">
    <w:name w:val="Light List"/>
    <w:basedOn w:val="TableauNormal"/>
    <w:uiPriority w:val="61"/>
    <w:rsid w:val="00F4277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4277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F4277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F4277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F42774"/>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F4277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F42774"/>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stecouleur">
    <w:name w:val="Colorful List"/>
    <w:basedOn w:val="TableauNormal"/>
    <w:uiPriority w:val="72"/>
    <w:rsid w:val="00F42774"/>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F4277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F42774"/>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F42774"/>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F42774"/>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F42774"/>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F42774"/>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stefonce">
    <w:name w:val="Dark List"/>
    <w:basedOn w:val="TableauNormal"/>
    <w:uiPriority w:val="70"/>
    <w:rsid w:val="00F42774"/>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F42774"/>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F42774"/>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F42774"/>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F42774"/>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F42774"/>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F42774"/>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emoyenne1">
    <w:name w:val="Medium List 1"/>
    <w:basedOn w:val="TableauNormal"/>
    <w:uiPriority w:val="65"/>
    <w:rsid w:val="00F42774"/>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F42774"/>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F42774"/>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F42774"/>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F42774"/>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F42774"/>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F42774"/>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F42774"/>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F4277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F42774"/>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F42774"/>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F42774"/>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F42774"/>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F4277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Ombrageclair">
    <w:name w:val="Light Shading"/>
    <w:basedOn w:val="TableauNormal"/>
    <w:uiPriority w:val="60"/>
    <w:rsid w:val="00F427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aragraphedeliste">
    <w:name w:val="List Paragraph"/>
    <w:basedOn w:val="Normal"/>
    <w:uiPriority w:val="34"/>
    <w:qFormat/>
    <w:rsid w:val="00F42774"/>
    <w:pPr>
      <w:ind w:left="720"/>
      <w:contextualSpacing/>
    </w:pPr>
  </w:style>
  <w:style w:type="character" w:styleId="Rfrenceintense">
    <w:name w:val="Intense Reference"/>
    <w:basedOn w:val="Policepardfaut"/>
    <w:uiPriority w:val="32"/>
    <w:qFormat/>
    <w:rsid w:val="00F42774"/>
    <w:rPr>
      <w:b/>
      <w:bCs/>
      <w:smallCaps/>
      <w:dstrike w:val="0"/>
      <w:color w:val="C0504D" w:themeColor="accent2"/>
      <w:spacing w:val="5"/>
      <w:u w:val="single"/>
    </w:rPr>
  </w:style>
  <w:style w:type="character" w:styleId="Rfrencelgre">
    <w:name w:val="Subtle Reference"/>
    <w:basedOn w:val="Policepardfaut"/>
    <w:uiPriority w:val="31"/>
    <w:qFormat/>
    <w:rsid w:val="00F42774"/>
    <w:rPr>
      <w:smallCaps/>
      <w:dstrike w:val="0"/>
      <w:color w:val="C0504D" w:themeColor="accent2"/>
      <w:u w:val="single"/>
    </w:rPr>
  </w:style>
  <w:style w:type="paragraph" w:styleId="Sansinterligne">
    <w:name w:val="No Spacing"/>
    <w:uiPriority w:val="1"/>
    <w:qFormat/>
    <w:rsid w:val="00F42774"/>
    <w:rPr>
      <w:sz w:val="24"/>
      <w:szCs w:val="24"/>
    </w:rPr>
  </w:style>
  <w:style w:type="character" w:styleId="Textedelespacerserv">
    <w:name w:val="Placeholder Text"/>
    <w:basedOn w:val="Policepardfaut"/>
    <w:uiPriority w:val="99"/>
    <w:semiHidden/>
    <w:rsid w:val="00F42774"/>
    <w:rPr>
      <w:dstrike w:val="0"/>
      <w:color w:val="808080"/>
    </w:rPr>
  </w:style>
  <w:style w:type="character" w:styleId="Titredulivre">
    <w:name w:val="Book Title"/>
    <w:basedOn w:val="Policepardfaut"/>
    <w:uiPriority w:val="33"/>
    <w:qFormat/>
    <w:rsid w:val="00F42774"/>
    <w:rPr>
      <w:b/>
      <w:bCs/>
      <w:smallCaps/>
      <w:dstrike w:val="0"/>
      <w:spacing w:val="5"/>
    </w:rPr>
  </w:style>
  <w:style w:type="table" w:styleId="Trameclaire-Accent1">
    <w:name w:val="Light Shading Accent 1"/>
    <w:basedOn w:val="TableauNormal"/>
    <w:uiPriority w:val="60"/>
    <w:rsid w:val="00F4277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42774"/>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42774"/>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42774"/>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42774"/>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42774"/>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Tramecouleur">
    <w:name w:val="Colorful Shading"/>
    <w:basedOn w:val="TableauNormal"/>
    <w:uiPriority w:val="71"/>
    <w:rsid w:val="00F42774"/>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F42774"/>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F42774"/>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F42774"/>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5">
    <w:name w:val="Colorful Shading Accent 5"/>
    <w:basedOn w:val="TableauNormal"/>
    <w:uiPriority w:val="71"/>
    <w:rsid w:val="00F42774"/>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F42774"/>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Tramecouleur-Accent4">
    <w:name w:val="Colorful Shading Accent 4"/>
    <w:basedOn w:val="TableauNormal"/>
    <w:uiPriority w:val="71"/>
    <w:rsid w:val="00F42774"/>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moyenne1">
    <w:name w:val="Medium Shading 1"/>
    <w:basedOn w:val="TableauNormal"/>
    <w:uiPriority w:val="63"/>
    <w:rsid w:val="00F4277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F4277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F42774"/>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F42774"/>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F42774"/>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F4277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F42774"/>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F4277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F4277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F4277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F4277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F4277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F4277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F4277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hyperlink" Target="https://lecnam.net" TargetMode="External"/><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image" Target="media/image30.jpg"/><Relationship Id="rId7" Type="http://schemas.openxmlformats.org/officeDocument/2006/relationships/hyperlink" Target="https://lecnam.net" TargetMode="External"/><Relationship Id="rId2" Type="http://schemas.openxmlformats.org/officeDocument/2006/relationships/styles" Target="styles.xml"/><Relationship Id="rId16" Type="http://schemas.openxmlformats.org/officeDocument/2006/relationships/image" Target="media/image5.png"/><Relationship Id="rId29"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cnam.net" TargetMode="Externa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8.jpg"/><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10" Type="http://schemas.openxmlformats.org/officeDocument/2006/relationships/hyperlink" Target="https://lecnam.net" TargetMode="External"/><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deli.cnam.fr"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hyperlink" Target="https://lecnam.net" TargetMode="External"/><Relationship Id="rId8" Type="http://schemas.openxmlformats.org/officeDocument/2006/relationships/hyperlink" Target="https://lecnam.net" TargetMode="External"/><Relationship Id="rId3"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theme" Target="theme/theme1.xml"/><Relationship Id="rId20" Type="http://schemas.openxmlformats.org/officeDocument/2006/relationships/image" Target="media/image9.png"/><Relationship Id="rId41" Type="http://schemas.openxmlformats.org/officeDocument/2006/relationships/image" Target="media/image29.jpg"/></Relationships>
</file>

<file path=word/_rels/settings.xml.rels><?xml version="1.0" encoding="UTF-8" standalone="yes"?>
<Relationships xmlns="http://schemas.openxmlformats.org/package/2006/relationships"><Relationship Id="rId1" Type="http://schemas.openxmlformats.org/officeDocument/2006/relationships/attachedTemplate" Target="file:///Z:\fsb\jse-may1-pwclb01\1700887bc1dd2bea030d91207992f171\xml\.cnam_intec_omnibook2docx_20250707_091155_610\_fsb_a88af7f2cc4a9205114a193e09889c69_macrosservice_20250707091211\MyModel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MyModele.dotm</Template>
  <TotalTime>0</TotalTime>
  <Pages>114</Pages>
  <Words>49890</Words>
  <Characters>274399</Characters>
  <Application>Microsoft Office Word</Application>
  <DocSecurity>0</DocSecurity>
  <Lines>2286</Lines>
  <Paragraphs>647</Paragraphs>
  <ScaleCrop>false</ScaleCrop>
  <Company>Jouve SA</Company>
  <LinksUpToDate>false</LinksUpToDate>
  <CharactersWithSpaces>323642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generated by Jouve</dc:title>
  <dc:subject/>
  <dc:creator>jouve</dc:creator>
  <cp:keywords/>
  <dc:description/>
  <cp:lastModifiedBy>SIMOES Angèle</cp:lastModifiedBy>
  <cp:revision>3</cp:revision>
  <dcterms:created xsi:type="dcterms:W3CDTF">2025-07-07T07:12:00Z</dcterms:created>
  <dcterms:modified xsi:type="dcterms:W3CDTF">2026-01-08T14:27:00Z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_t">
    <vt:bool>true</vt:bool>
  </property>
</Properties>
</file>